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2F3B" w14:textId="77777777" w:rsidR="00A50E3D" w:rsidRDefault="00A50E3D" w:rsidP="006B2E68">
      <w:bookmarkStart w:id="0" w:name="_GoBack"/>
      <w:bookmarkEnd w:id="0"/>
    </w:p>
    <w:tbl>
      <w:tblPr>
        <w:tblStyle w:val="TableNormal"/>
        <w:tblW w:w="1496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741"/>
      </w:tblGrid>
      <w:tr w:rsidR="007B6E1E" w:rsidRPr="00DC34BB" w14:paraId="7237BDAF" w14:textId="77777777" w:rsidTr="009E6C38">
        <w:trPr>
          <w:trHeight w:val="1408"/>
        </w:trPr>
        <w:tc>
          <w:tcPr>
            <w:tcW w:w="14964" w:type="dxa"/>
            <w:gridSpan w:val="2"/>
            <w:vAlign w:val="center"/>
          </w:tcPr>
          <w:p w14:paraId="0E468C6F" w14:textId="53D896A3" w:rsidR="00A50E3D" w:rsidRDefault="00A50E3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r>
              <w:rPr>
                <w:b/>
              </w:rPr>
              <w:t xml:space="preserve">Fachoberschule, Anlage C </w:t>
            </w:r>
            <w:r w:rsidR="006B2E68">
              <w:rPr>
                <w:b/>
              </w:rPr>
              <w:t>3</w:t>
            </w:r>
          </w:p>
          <w:p w14:paraId="786B2127" w14:textId="3256D904" w:rsidR="0011249D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384C8F" w:rsidRPr="000734B3">
              <w:rPr>
                <w:bCs/>
              </w:rPr>
              <w:t>Sozial- und Erziehungswissenschaften</w:t>
            </w:r>
          </w:p>
          <w:p w14:paraId="40E3C7CF" w14:textId="267695AE" w:rsidR="0011249D" w:rsidRPr="0042077B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="00384C8F" w:rsidRPr="006B2E68">
              <w:rPr>
                <w:bCs/>
              </w:rPr>
              <w:t>1.2</w:t>
            </w:r>
            <w:r w:rsidR="00982356" w:rsidRPr="0042077B">
              <w:rPr>
                <w:b/>
                <w:bCs/>
              </w:rPr>
              <w:t xml:space="preserve"> </w:t>
            </w:r>
            <w:r w:rsidRPr="0042077B">
              <w:t>(</w:t>
            </w:r>
            <w:r w:rsidR="00AB2639">
              <w:t>15</w:t>
            </w:r>
            <w:r w:rsidR="006B2E68">
              <w:t xml:space="preserve"> </w:t>
            </w:r>
            <w:r w:rsidR="00AB2639">
              <w:t>-</w:t>
            </w:r>
            <w:r w:rsidR="006B2E68">
              <w:t xml:space="preserve"> </w:t>
            </w:r>
            <w:r w:rsidR="00AB2639">
              <w:t>20</w:t>
            </w:r>
            <w:r w:rsidRPr="0042077B">
              <w:t xml:space="preserve"> UStd.) </w:t>
            </w:r>
          </w:p>
          <w:p w14:paraId="7D7526BD" w14:textId="10B3713E" w:rsidR="007B6E1E" w:rsidRPr="0042077B" w:rsidRDefault="007B6E1E" w:rsidP="0098465C">
            <w:pPr>
              <w:pStyle w:val="Tabellentext"/>
              <w:tabs>
                <w:tab w:val="left" w:pos="2098"/>
              </w:tabs>
              <w:rPr>
                <w:b/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0734B3" w:rsidRPr="000734B3">
              <w:t xml:space="preserve">HF </w:t>
            </w:r>
            <w:r w:rsidR="00850B91" w:rsidRPr="000734B3">
              <w:t xml:space="preserve">1 Bildung und Erziehung / </w:t>
            </w:r>
            <w:r w:rsidR="00F56D71" w:rsidRPr="000734B3">
              <w:t>Bedürfn</w:t>
            </w:r>
            <w:r w:rsidR="00644C3D" w:rsidRPr="000734B3">
              <w:t xml:space="preserve">is- und Potentialermittlung </w:t>
            </w:r>
            <w:r w:rsidR="00F56D71" w:rsidRPr="000734B3">
              <w:t>/ Unterstützung und Förderung</w:t>
            </w:r>
          </w:p>
          <w:p w14:paraId="125C1900" w14:textId="273146BB" w:rsidR="007B6E1E" w:rsidRPr="00DC34BB" w:rsidRDefault="007B6E1E" w:rsidP="00C9773E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 xml:space="preserve">Lernsituation Nr.: </w:t>
            </w:r>
            <w:r w:rsidR="00AB2639" w:rsidRPr="006B2E68">
              <w:t>1</w:t>
            </w:r>
            <w:r w:rsidR="0056209A" w:rsidRPr="006B2E68">
              <w:t>.2.1</w:t>
            </w:r>
            <w:r w:rsidR="0056209A">
              <w:rPr>
                <w:b/>
              </w:rPr>
              <w:t xml:space="preserve"> </w:t>
            </w:r>
            <w:r w:rsidR="0056209A" w:rsidRPr="000734B3">
              <w:t>Wahrnehmung und Beobachtung als Herausforderung und als Grundlage / Ausgangspunkt für komplexe Handlungen</w:t>
            </w:r>
            <w:r w:rsidR="000734B3">
              <w:t xml:space="preserve"> (5</w:t>
            </w:r>
            <w:r w:rsidR="006B2E68">
              <w:t xml:space="preserve"> </w:t>
            </w:r>
            <w:r w:rsidR="000734B3">
              <w:t>-</w:t>
            </w:r>
            <w:r w:rsidR="006B2E68">
              <w:t xml:space="preserve"> </w:t>
            </w:r>
            <w:r w:rsidR="000734B3">
              <w:t xml:space="preserve">10 UStd.) </w:t>
            </w:r>
          </w:p>
        </w:tc>
      </w:tr>
      <w:tr w:rsidR="007B6E1E" w:rsidRPr="00DC34BB" w14:paraId="61385829" w14:textId="77777777" w:rsidTr="00A156D9">
        <w:trPr>
          <w:trHeight w:val="2219"/>
        </w:trPr>
        <w:tc>
          <w:tcPr>
            <w:tcW w:w="7223" w:type="dxa"/>
          </w:tcPr>
          <w:p w14:paraId="5F74D49D" w14:textId="77777777" w:rsidR="007B6E1E" w:rsidRPr="00DC34BB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200D768F" w14:textId="71A90C83" w:rsidR="007B6E1E" w:rsidRDefault="007B6E1E" w:rsidP="00F810C2">
            <w:pPr>
              <w:pStyle w:val="Tabellentext"/>
            </w:pPr>
          </w:p>
          <w:p w14:paraId="13A5070D" w14:textId="4774AFA0" w:rsidR="00644C3D" w:rsidRPr="00221465" w:rsidRDefault="00644C3D" w:rsidP="000734B3">
            <w:pPr>
              <w:pStyle w:val="Tabellentext"/>
            </w:pPr>
            <w:r>
              <w:t xml:space="preserve">Im Gespräch zwischen </w:t>
            </w:r>
            <w:r w:rsidR="000734B3">
              <w:t>zwei Fachkräften in einer</w:t>
            </w:r>
            <w:r>
              <w:t xml:space="preserve"> KiTa wird deutlich, dass ein Kind ganz unterschiedlich w</w:t>
            </w:r>
            <w:r w:rsidR="000734B3">
              <w:t>ahrgenommen wird (z. B. bei der/dem E</w:t>
            </w:r>
            <w:r>
              <w:t>inen</w:t>
            </w:r>
            <w:r w:rsidR="000734B3">
              <w:t xml:space="preserve"> lieb und nett, bei dem/der Anderen </w:t>
            </w:r>
            <w:r>
              <w:t>oft aggressiv)</w:t>
            </w:r>
            <w:r w:rsidR="000734B3">
              <w:t xml:space="preserve">. Bedingt durch die unterschiedliche Wahrnehmung ist das jeweilige Arbeiten mit dem Kind sehr unterschiedlich. Aus diesem Grund wird nach einem Weg gesucht, die Wahrnehmung des Kindes zu objektivieren. </w:t>
            </w:r>
          </w:p>
        </w:tc>
        <w:tc>
          <w:tcPr>
            <w:tcW w:w="7741" w:type="dxa"/>
          </w:tcPr>
          <w:p w14:paraId="1C3923D5" w14:textId="77777777" w:rsidR="007B6E1E" w:rsidRPr="0064317C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64317C">
              <w:rPr>
                <w:sz w:val="20"/>
                <w:szCs w:val="20"/>
              </w:rPr>
              <w:t>Handlungsprodukt/Lernergebnis</w:t>
            </w:r>
          </w:p>
          <w:p w14:paraId="572054A8" w14:textId="77777777" w:rsidR="007B6E1E" w:rsidRPr="0064317C" w:rsidRDefault="007B6E1E" w:rsidP="00F810C2">
            <w:pPr>
              <w:pStyle w:val="Tabellenberschrift"/>
              <w:rPr>
                <w:b w:val="0"/>
                <w:bCs w:val="0"/>
                <w:sz w:val="20"/>
                <w:szCs w:val="20"/>
              </w:rPr>
            </w:pPr>
          </w:p>
          <w:p w14:paraId="69EE6743" w14:textId="5139A648" w:rsidR="0042077B" w:rsidRPr="0064317C" w:rsidRDefault="00A808C3" w:rsidP="00A808C3">
            <w:pPr>
              <w:pStyle w:val="Tabellenberschrift"/>
              <w:numPr>
                <w:ilvl w:val="0"/>
                <w:numId w:val="8"/>
              </w:numPr>
              <w:rPr>
                <w:b w:val="0"/>
                <w:bCs w:val="0"/>
                <w:sz w:val="20"/>
                <w:szCs w:val="20"/>
              </w:rPr>
            </w:pPr>
            <w:r w:rsidRPr="0064317C">
              <w:rPr>
                <w:b w:val="0"/>
                <w:bCs w:val="0"/>
                <w:sz w:val="20"/>
                <w:szCs w:val="20"/>
              </w:rPr>
              <w:t>Erstellung eines Berichtes mit Word oder Power-Point</w:t>
            </w:r>
            <w:r w:rsidR="002D4A99" w:rsidRPr="0064317C">
              <w:rPr>
                <w:b w:val="0"/>
                <w:bCs w:val="0"/>
                <w:sz w:val="20"/>
                <w:szCs w:val="20"/>
              </w:rPr>
              <w:t xml:space="preserve"> (in Verbindung mit Lernsituation 1.2.2)</w:t>
            </w:r>
          </w:p>
          <w:p w14:paraId="722CF977" w14:textId="657BE628" w:rsidR="00A808C3" w:rsidRPr="0064317C" w:rsidRDefault="00A808C3" w:rsidP="00A808C3">
            <w:pPr>
              <w:pStyle w:val="Tabellenberschrift"/>
              <w:numPr>
                <w:ilvl w:val="0"/>
                <w:numId w:val="8"/>
              </w:numPr>
              <w:rPr>
                <w:b w:val="0"/>
                <w:bCs w:val="0"/>
                <w:sz w:val="20"/>
                <w:szCs w:val="20"/>
              </w:rPr>
            </w:pPr>
            <w:r w:rsidRPr="0064317C">
              <w:rPr>
                <w:b w:val="0"/>
                <w:bCs w:val="0"/>
                <w:sz w:val="20"/>
                <w:szCs w:val="20"/>
              </w:rPr>
              <w:t>Fokussierung de</w:t>
            </w:r>
            <w:r w:rsidR="009E6C38" w:rsidRPr="0064317C">
              <w:rPr>
                <w:b w:val="0"/>
                <w:bCs w:val="0"/>
                <w:sz w:val="20"/>
                <w:szCs w:val="20"/>
              </w:rPr>
              <w:t>r</w:t>
            </w:r>
            <w:r w:rsidRPr="0064317C">
              <w:rPr>
                <w:b w:val="0"/>
                <w:bCs w:val="0"/>
                <w:sz w:val="20"/>
                <w:szCs w:val="20"/>
              </w:rPr>
              <w:t xml:space="preserve"> Teilbereich</w:t>
            </w:r>
            <w:r w:rsidR="00E8630E" w:rsidRPr="0064317C">
              <w:rPr>
                <w:b w:val="0"/>
                <w:bCs w:val="0"/>
                <w:sz w:val="20"/>
                <w:szCs w:val="20"/>
              </w:rPr>
              <w:t>e</w:t>
            </w:r>
            <w:r w:rsidRPr="0064317C">
              <w:rPr>
                <w:b w:val="0"/>
                <w:bCs w:val="0"/>
                <w:sz w:val="20"/>
                <w:szCs w:val="20"/>
              </w:rPr>
              <w:t xml:space="preserve"> Beobachtung</w:t>
            </w:r>
            <w:r w:rsidR="00E8630E" w:rsidRPr="0064317C">
              <w:rPr>
                <w:b w:val="0"/>
                <w:bCs w:val="0"/>
                <w:sz w:val="20"/>
                <w:szCs w:val="20"/>
              </w:rPr>
              <w:t xml:space="preserve">, Analyse und </w:t>
            </w:r>
            <w:r w:rsidR="009E6C38" w:rsidRPr="0064317C">
              <w:rPr>
                <w:b w:val="0"/>
                <w:bCs w:val="0"/>
                <w:sz w:val="20"/>
                <w:szCs w:val="20"/>
              </w:rPr>
              <w:t xml:space="preserve">in groben Ansätzen </w:t>
            </w:r>
            <w:r w:rsidR="00E8630E" w:rsidRPr="0064317C">
              <w:rPr>
                <w:b w:val="0"/>
                <w:bCs w:val="0"/>
                <w:sz w:val="20"/>
                <w:szCs w:val="20"/>
              </w:rPr>
              <w:t>Information/R</w:t>
            </w:r>
            <w:r w:rsidR="009E6C38" w:rsidRPr="0064317C">
              <w:rPr>
                <w:b w:val="0"/>
                <w:bCs w:val="0"/>
                <w:sz w:val="20"/>
                <w:szCs w:val="20"/>
              </w:rPr>
              <w:t>e</w:t>
            </w:r>
            <w:r w:rsidR="00E8630E" w:rsidRPr="0064317C">
              <w:rPr>
                <w:b w:val="0"/>
                <w:bCs w:val="0"/>
                <w:sz w:val="20"/>
                <w:szCs w:val="20"/>
              </w:rPr>
              <w:t>cherche</w:t>
            </w:r>
            <w:r w:rsidR="009E6C38" w:rsidRPr="0064317C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64317C">
              <w:rPr>
                <w:b w:val="0"/>
                <w:bCs w:val="0"/>
                <w:sz w:val="20"/>
                <w:szCs w:val="20"/>
              </w:rPr>
              <w:t>aus der vollständigen Handlung</w:t>
            </w:r>
          </w:p>
          <w:p w14:paraId="6092FC94" w14:textId="77777777" w:rsidR="00A808C3" w:rsidRDefault="00A808C3" w:rsidP="00C9773E">
            <w:pPr>
              <w:pStyle w:val="Tabellenberschrift"/>
              <w:rPr>
                <w:sz w:val="20"/>
                <w:szCs w:val="20"/>
              </w:rPr>
            </w:pPr>
          </w:p>
          <w:p w14:paraId="34CE1640" w14:textId="5B4C5B78" w:rsidR="00A808C3" w:rsidRPr="0042077B" w:rsidRDefault="00A808C3" w:rsidP="00C9773E">
            <w:pPr>
              <w:pStyle w:val="Tabellenberschrift"/>
              <w:rPr>
                <w:sz w:val="20"/>
                <w:szCs w:val="20"/>
              </w:rPr>
            </w:pPr>
          </w:p>
        </w:tc>
      </w:tr>
      <w:tr w:rsidR="007B6E1E" w:rsidRPr="00DC34BB" w14:paraId="545069DE" w14:textId="77777777" w:rsidTr="009E6C38">
        <w:trPr>
          <w:trHeight w:val="2683"/>
        </w:trPr>
        <w:tc>
          <w:tcPr>
            <w:tcW w:w="7223" w:type="dxa"/>
          </w:tcPr>
          <w:p w14:paraId="00274A1C" w14:textId="39B02D61" w:rsidR="009331E8" w:rsidRDefault="007B6E1E" w:rsidP="009E6C38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36C9B316" w14:textId="5D478FA9" w:rsidR="000734B3" w:rsidRDefault="000734B3" w:rsidP="009E6C38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Schülerinnen und Schüler…</w:t>
            </w:r>
          </w:p>
          <w:p w14:paraId="1D5F2003" w14:textId="77777777" w:rsidR="000734B3" w:rsidRPr="009E6C38" w:rsidRDefault="000734B3" w:rsidP="009E6C38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1AD22B5D" w14:textId="43DD7747" w:rsidR="00A24556" w:rsidRPr="000734B3" w:rsidRDefault="0006155A" w:rsidP="000734B3">
            <w:pPr>
              <w:pStyle w:val="Listenabsatz"/>
              <w:numPr>
                <w:ilvl w:val="0"/>
                <w:numId w:val="9"/>
              </w:numPr>
              <w:ind w:left="441" w:hanging="283"/>
              <w:jc w:val="left"/>
              <w:rPr>
                <w:sz w:val="20"/>
                <w:szCs w:val="16"/>
              </w:rPr>
            </w:pPr>
            <w:r w:rsidRPr="000734B3">
              <w:rPr>
                <w:sz w:val="20"/>
                <w:szCs w:val="16"/>
              </w:rPr>
              <w:t>Schüler erläutern den subjektiven Wahrnehmungsprozess und leiten daraus Konsequenzen für die professionelle Beobachtung von Kl</w:t>
            </w:r>
            <w:r w:rsidR="000734B3" w:rsidRPr="000734B3">
              <w:rPr>
                <w:sz w:val="20"/>
                <w:szCs w:val="16"/>
              </w:rPr>
              <w:t>ientinnen und Klienten ab (Z 1)</w:t>
            </w:r>
          </w:p>
          <w:p w14:paraId="36C9E9BA" w14:textId="77777777" w:rsidR="0006155A" w:rsidRPr="0006155A" w:rsidRDefault="0006155A" w:rsidP="000734B3">
            <w:pPr>
              <w:ind w:left="441" w:hanging="283"/>
              <w:jc w:val="left"/>
              <w:rPr>
                <w:sz w:val="20"/>
                <w:szCs w:val="16"/>
              </w:rPr>
            </w:pPr>
          </w:p>
          <w:p w14:paraId="48FBACA0" w14:textId="419368F1" w:rsidR="0006155A" w:rsidRPr="000734B3" w:rsidRDefault="0006155A" w:rsidP="000734B3">
            <w:pPr>
              <w:pStyle w:val="Listenabsatz"/>
              <w:numPr>
                <w:ilvl w:val="0"/>
                <w:numId w:val="9"/>
              </w:numPr>
              <w:ind w:left="441" w:hanging="283"/>
              <w:jc w:val="left"/>
              <w:rPr>
                <w:sz w:val="20"/>
                <w:szCs w:val="16"/>
              </w:rPr>
            </w:pPr>
            <w:r w:rsidRPr="006B2E68">
              <w:rPr>
                <w:color w:val="007EC5"/>
                <w:sz w:val="20"/>
              </w:rPr>
              <w:t>beschreiben Kriterien und (u.</w:t>
            </w:r>
            <w:r w:rsidR="006B2E68">
              <w:rPr>
                <w:color w:val="007EC5"/>
                <w:sz w:val="20"/>
              </w:rPr>
              <w:t xml:space="preserve"> </w:t>
            </w:r>
            <w:r w:rsidRPr="006B2E68">
              <w:rPr>
                <w:color w:val="007EC5"/>
                <w:sz w:val="20"/>
              </w:rPr>
              <w:t>a. digitale) Methoden bzw. Instrumente der professionellen Beobachtung</w:t>
            </w:r>
            <w:r w:rsidRPr="000734B3">
              <w:rPr>
                <w:sz w:val="20"/>
                <w:szCs w:val="16"/>
              </w:rPr>
              <w:t xml:space="preserve"> (z. B. Gelegenheitsbeobachtung, standardis</w:t>
            </w:r>
            <w:r w:rsidR="000734B3" w:rsidRPr="000734B3">
              <w:rPr>
                <w:sz w:val="20"/>
                <w:szCs w:val="16"/>
              </w:rPr>
              <w:t>ierte Beobachtungsbögen) (Z 2)</w:t>
            </w:r>
          </w:p>
          <w:p w14:paraId="4903EA59" w14:textId="77777777" w:rsidR="000734B3" w:rsidRPr="0006155A" w:rsidRDefault="000734B3" w:rsidP="000734B3">
            <w:pPr>
              <w:ind w:left="441" w:hanging="283"/>
              <w:jc w:val="left"/>
              <w:rPr>
                <w:sz w:val="20"/>
                <w:szCs w:val="16"/>
              </w:rPr>
            </w:pPr>
          </w:p>
          <w:p w14:paraId="79385BE6" w14:textId="6B08EF6C" w:rsidR="0006155A" w:rsidRPr="000734B3" w:rsidRDefault="0006155A" w:rsidP="000734B3">
            <w:pPr>
              <w:pStyle w:val="Listenabsatz"/>
              <w:numPr>
                <w:ilvl w:val="0"/>
                <w:numId w:val="9"/>
              </w:numPr>
              <w:ind w:left="441" w:hanging="283"/>
              <w:jc w:val="left"/>
              <w:rPr>
                <w:sz w:val="20"/>
              </w:rPr>
            </w:pPr>
            <w:r w:rsidRPr="000734B3">
              <w:rPr>
                <w:sz w:val="20"/>
                <w:szCs w:val="16"/>
              </w:rPr>
              <w:t xml:space="preserve">wenden ausgewählte Methoden und Instrumente der Beobachtung und analogen und </w:t>
            </w:r>
            <w:r w:rsidRPr="006B2E68">
              <w:rPr>
                <w:color w:val="007EC5"/>
                <w:sz w:val="20"/>
              </w:rPr>
              <w:t>digitalen Dokumentation</w:t>
            </w:r>
            <w:r w:rsidRPr="000734B3">
              <w:rPr>
                <w:color w:val="0070C0"/>
                <w:sz w:val="20"/>
                <w:szCs w:val="16"/>
              </w:rPr>
              <w:t xml:space="preserve"> </w:t>
            </w:r>
            <w:r w:rsidRPr="000734B3">
              <w:rPr>
                <w:sz w:val="20"/>
                <w:szCs w:val="16"/>
              </w:rPr>
              <w:t>im pädagogischen Kontext auf Einzelne bzw. Gruppen an, um Klienten in ihren Le</w:t>
            </w:r>
            <w:r w:rsidR="000734B3" w:rsidRPr="000734B3">
              <w:rPr>
                <w:sz w:val="20"/>
                <w:szCs w:val="16"/>
              </w:rPr>
              <w:t>benswelten zu beschreiben (Z 3)</w:t>
            </w:r>
          </w:p>
        </w:tc>
        <w:tc>
          <w:tcPr>
            <w:tcW w:w="7741" w:type="dxa"/>
          </w:tcPr>
          <w:p w14:paraId="022A912D" w14:textId="77777777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36102053" w14:textId="77777777" w:rsidR="00B5311C" w:rsidRDefault="00B5311C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1D86E934" w14:textId="407D76AA" w:rsidR="007D533E" w:rsidRPr="0064317C" w:rsidRDefault="007D533E" w:rsidP="007D533E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4317C">
              <w:rPr>
                <w:b w:val="0"/>
                <w:bCs w:val="0"/>
                <w:sz w:val="20"/>
                <w:szCs w:val="20"/>
              </w:rPr>
              <w:t>Prozess der Wahrnehmung</w:t>
            </w:r>
          </w:p>
          <w:p w14:paraId="5A9987A2" w14:textId="76CFD0B7" w:rsidR="00921528" w:rsidRPr="0064317C" w:rsidRDefault="007D533E" w:rsidP="007D533E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4317C">
              <w:rPr>
                <w:b w:val="0"/>
                <w:bCs w:val="0"/>
                <w:sz w:val="20"/>
                <w:szCs w:val="20"/>
              </w:rPr>
              <w:t>Gestaltgesetze der Wahrnehmung</w:t>
            </w:r>
          </w:p>
          <w:p w14:paraId="722A63F9" w14:textId="77777777" w:rsidR="007D533E" w:rsidRPr="0064317C" w:rsidRDefault="007D533E" w:rsidP="007D533E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4317C">
              <w:rPr>
                <w:b w:val="0"/>
                <w:bCs w:val="0"/>
                <w:sz w:val="20"/>
                <w:szCs w:val="20"/>
              </w:rPr>
              <w:t>Wahrnehmungsfehler</w:t>
            </w:r>
          </w:p>
          <w:p w14:paraId="69FAF21E" w14:textId="77777777" w:rsidR="007D533E" w:rsidRPr="0064317C" w:rsidRDefault="007D533E" w:rsidP="007D533E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4317C">
              <w:rPr>
                <w:b w:val="0"/>
                <w:bCs w:val="0"/>
                <w:sz w:val="20"/>
                <w:szCs w:val="20"/>
              </w:rPr>
              <w:t>Von der Wahrnehmung zur Beobachtung</w:t>
            </w:r>
          </w:p>
          <w:p w14:paraId="2E6B143F" w14:textId="77777777" w:rsidR="007D533E" w:rsidRPr="0064317C" w:rsidRDefault="007D533E" w:rsidP="007D533E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4317C">
              <w:rPr>
                <w:b w:val="0"/>
                <w:bCs w:val="0"/>
                <w:sz w:val="20"/>
                <w:szCs w:val="20"/>
              </w:rPr>
              <w:t>Beobachtungsformen, -methoden, -instrumente</w:t>
            </w:r>
          </w:p>
          <w:p w14:paraId="0648B574" w14:textId="77777777" w:rsidR="007D533E" w:rsidRPr="0064317C" w:rsidRDefault="007D533E" w:rsidP="007D533E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4317C">
              <w:rPr>
                <w:b w:val="0"/>
                <w:bCs w:val="0"/>
                <w:sz w:val="20"/>
                <w:szCs w:val="20"/>
              </w:rPr>
              <w:t>Unterscheidung zwischen Beobachtung und Deutung/Interpretation</w:t>
            </w:r>
          </w:p>
          <w:p w14:paraId="2A6DE0A9" w14:textId="553FA924" w:rsidR="007D533E" w:rsidRPr="00CE6AE9" w:rsidRDefault="007D533E" w:rsidP="007D533E">
            <w:pPr>
              <w:pStyle w:val="Tabellenberschrift"/>
              <w:tabs>
                <w:tab w:val="left" w:pos="708"/>
              </w:tabs>
              <w:ind w:left="720"/>
              <w:rPr>
                <w:sz w:val="20"/>
                <w:szCs w:val="20"/>
              </w:rPr>
            </w:pPr>
          </w:p>
        </w:tc>
      </w:tr>
      <w:tr w:rsidR="007B6E1E" w:rsidRPr="001E6514" w14:paraId="51E369B6" w14:textId="77777777" w:rsidTr="009E6C38">
        <w:trPr>
          <w:trHeight w:val="864"/>
        </w:trPr>
        <w:tc>
          <w:tcPr>
            <w:tcW w:w="14964" w:type="dxa"/>
            <w:gridSpan w:val="2"/>
          </w:tcPr>
          <w:p w14:paraId="2BFA4583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3E9DE94D" w14:textId="77777777" w:rsidR="00A808C3" w:rsidRPr="006B2E68" w:rsidRDefault="002D4A99" w:rsidP="002D4A99">
            <w:pPr>
              <w:pStyle w:val="Tabellentext"/>
              <w:numPr>
                <w:ilvl w:val="0"/>
                <w:numId w:val="8"/>
              </w:numPr>
              <w:rPr>
                <w:color w:val="007EC5"/>
              </w:rPr>
            </w:pPr>
            <w:r w:rsidRPr="006B2E68">
              <w:rPr>
                <w:color w:val="007EC5"/>
              </w:rPr>
              <w:t>Arbeiten mit Word und/oder Power-Point</w:t>
            </w:r>
          </w:p>
          <w:p w14:paraId="6D5291A0" w14:textId="551AFB40" w:rsidR="002D4A99" w:rsidRDefault="002D4A99" w:rsidP="002D4A99">
            <w:pPr>
              <w:pStyle w:val="Tabellentext"/>
              <w:numPr>
                <w:ilvl w:val="0"/>
                <w:numId w:val="8"/>
              </w:numPr>
            </w:pPr>
            <w:r>
              <w:t>Experimente zur Wahrnehmung (Kippbilder / Gorilla Exper</w:t>
            </w:r>
            <w:r w:rsidR="00E273A8">
              <w:t>iment</w:t>
            </w:r>
            <w:r>
              <w:t xml:space="preserve"> / Wahrnehmungsparcours</w:t>
            </w:r>
            <w:r w:rsidR="00E273A8">
              <w:t xml:space="preserve"> / Rollenspiele etc.)</w:t>
            </w:r>
          </w:p>
          <w:p w14:paraId="0BDDAA85" w14:textId="61DF4D19" w:rsidR="00E273A8" w:rsidRPr="00E273A8" w:rsidRDefault="00E273A8" w:rsidP="00E273A8">
            <w:pPr>
              <w:pStyle w:val="Tabellentext"/>
              <w:numPr>
                <w:ilvl w:val="0"/>
                <w:numId w:val="8"/>
              </w:numPr>
            </w:pPr>
            <w:r>
              <w:t>Arbeiten mit Beobachtungsbögen</w:t>
            </w:r>
          </w:p>
        </w:tc>
      </w:tr>
      <w:tr w:rsidR="007B6E1E" w:rsidRPr="001E6514" w14:paraId="6AA1EAA7" w14:textId="77777777" w:rsidTr="009E6C38">
        <w:trPr>
          <w:trHeight w:val="720"/>
        </w:trPr>
        <w:tc>
          <w:tcPr>
            <w:tcW w:w="14964" w:type="dxa"/>
            <w:gridSpan w:val="2"/>
          </w:tcPr>
          <w:p w14:paraId="753A739F" w14:textId="552DF9FF" w:rsidR="00C9773E" w:rsidRPr="009E6C38" w:rsidRDefault="007B6E1E" w:rsidP="009E6C38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2ACD51C0" w14:textId="3E235894" w:rsidR="007B6E1E" w:rsidRDefault="000734B3" w:rsidP="00E273A8">
            <w:pPr>
              <w:pStyle w:val="Tabellentext"/>
              <w:numPr>
                <w:ilvl w:val="0"/>
                <w:numId w:val="8"/>
              </w:numPr>
            </w:pPr>
            <w:r>
              <w:t xml:space="preserve">YouTube-Videos </w:t>
            </w:r>
          </w:p>
          <w:p w14:paraId="5E728695" w14:textId="417F8647" w:rsidR="00E273A8" w:rsidRPr="001E6514" w:rsidRDefault="00E273A8" w:rsidP="00E273A8">
            <w:pPr>
              <w:pStyle w:val="Tabellentext"/>
              <w:numPr>
                <w:ilvl w:val="0"/>
                <w:numId w:val="8"/>
              </w:numPr>
            </w:pPr>
            <w:r>
              <w:t>Eingeführ</w:t>
            </w:r>
            <w:r w:rsidR="00E8630E">
              <w:t xml:space="preserve">te </w:t>
            </w:r>
            <w:r>
              <w:t>Fachbücher</w:t>
            </w:r>
          </w:p>
        </w:tc>
      </w:tr>
      <w:tr w:rsidR="007B6E1E" w:rsidRPr="001E6514" w14:paraId="5305AF2F" w14:textId="77777777" w:rsidTr="009E6C38">
        <w:trPr>
          <w:trHeight w:val="546"/>
        </w:trPr>
        <w:tc>
          <w:tcPr>
            <w:tcW w:w="14964" w:type="dxa"/>
            <w:gridSpan w:val="2"/>
          </w:tcPr>
          <w:p w14:paraId="2B1DC892" w14:textId="77777777" w:rsidR="007B6E1E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  <w:p w14:paraId="76A2AEF1" w14:textId="4499F15E" w:rsidR="00E8630E" w:rsidRPr="0064317C" w:rsidRDefault="00E8630E" w:rsidP="00E8630E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4317C">
              <w:rPr>
                <w:b w:val="0"/>
                <w:bCs w:val="0"/>
                <w:sz w:val="20"/>
                <w:szCs w:val="20"/>
              </w:rPr>
              <w:lastRenderedPageBreak/>
              <w:t>Für das Handlungsprodukt / Lernergebnis Bericht / Präsentation muss eine Verzahnung mit der Lernsituation 1.2.2 zum Thema Handlungsansätze / Handlungsmöglichkeiten und deren Reflexion</w:t>
            </w:r>
            <w:r w:rsidR="0064317C" w:rsidRPr="0064317C">
              <w:rPr>
                <w:b w:val="0"/>
                <w:bCs w:val="0"/>
                <w:sz w:val="20"/>
                <w:szCs w:val="20"/>
              </w:rPr>
              <w:t xml:space="preserve"> (Z</w:t>
            </w:r>
            <w:r w:rsidR="00644C3D">
              <w:rPr>
                <w:b w:val="0"/>
                <w:bCs w:val="0"/>
                <w:sz w:val="20"/>
                <w:szCs w:val="20"/>
              </w:rPr>
              <w:t xml:space="preserve"> 4 / Z</w:t>
            </w:r>
            <w:r w:rsidR="0064317C" w:rsidRPr="0064317C">
              <w:rPr>
                <w:b w:val="0"/>
                <w:bCs w:val="0"/>
                <w:sz w:val="20"/>
                <w:szCs w:val="20"/>
              </w:rPr>
              <w:t xml:space="preserve"> 5)</w:t>
            </w:r>
            <w:r w:rsidRPr="0064317C">
              <w:rPr>
                <w:b w:val="0"/>
                <w:bCs w:val="0"/>
                <w:sz w:val="20"/>
                <w:szCs w:val="20"/>
              </w:rPr>
              <w:t xml:space="preserve"> erfolgen.</w:t>
            </w:r>
          </w:p>
          <w:p w14:paraId="72416D29" w14:textId="284F25D4" w:rsidR="009E6C38" w:rsidRPr="0064317C" w:rsidRDefault="00A156D9" w:rsidP="00E8630E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Bearbeitung der</w:t>
            </w:r>
            <w:r w:rsidR="009E6C38" w:rsidRPr="0064317C">
              <w:rPr>
                <w:b w:val="0"/>
                <w:bCs w:val="0"/>
                <w:sz w:val="20"/>
                <w:szCs w:val="20"/>
              </w:rPr>
              <w:t xml:space="preserve"> Lernsituation </w:t>
            </w:r>
            <w:r>
              <w:rPr>
                <w:b w:val="0"/>
                <w:bCs w:val="0"/>
                <w:sz w:val="20"/>
                <w:szCs w:val="20"/>
              </w:rPr>
              <w:t>ausgehend von der jeweiligen Praktikumsstelle</w:t>
            </w:r>
            <w:r w:rsidR="009E6C38" w:rsidRPr="0064317C">
              <w:rPr>
                <w:b w:val="0"/>
                <w:bCs w:val="0"/>
                <w:sz w:val="20"/>
                <w:szCs w:val="20"/>
              </w:rPr>
              <w:t>: Die Lernsituation kann entsprechend angepasst werden</w:t>
            </w:r>
          </w:p>
        </w:tc>
      </w:tr>
    </w:tbl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773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678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0D6B3" w14:textId="77777777" w:rsidR="008572F0" w:rsidRDefault="008572F0" w:rsidP="007B6E1E">
      <w:pPr>
        <w:spacing w:after="0"/>
      </w:pPr>
      <w:r>
        <w:separator/>
      </w:r>
    </w:p>
  </w:endnote>
  <w:endnote w:type="continuationSeparator" w:id="0">
    <w:p w14:paraId="3F3D6EF0" w14:textId="77777777" w:rsidR="008572F0" w:rsidRDefault="008572F0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A5222" w14:textId="77777777" w:rsidR="005C7941" w:rsidRDefault="005C79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64AE3" w14:textId="77777777" w:rsidR="005C7941" w:rsidRDefault="005C794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B3A02" w14:textId="77777777" w:rsidR="005C7941" w:rsidRDefault="005C79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DCD95" w14:textId="77777777" w:rsidR="008572F0" w:rsidRDefault="008572F0" w:rsidP="007B6E1E">
      <w:pPr>
        <w:spacing w:after="0"/>
      </w:pPr>
      <w:r>
        <w:separator/>
      </w:r>
    </w:p>
  </w:footnote>
  <w:footnote w:type="continuationSeparator" w:id="0">
    <w:p w14:paraId="4902E31D" w14:textId="77777777" w:rsidR="008572F0" w:rsidRDefault="008572F0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64D17" w14:textId="77777777" w:rsidR="005C7941" w:rsidRDefault="005C79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28309" w14:textId="77777777" w:rsidR="005C7941" w:rsidRDefault="005C794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DCCD1" w14:textId="77777777" w:rsidR="005C7941" w:rsidRDefault="005C79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4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5FC967E8"/>
    <w:multiLevelType w:val="hybridMultilevel"/>
    <w:tmpl w:val="EBDCF766"/>
    <w:lvl w:ilvl="0" w:tplc="587C0F18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79632EB8"/>
    <w:multiLevelType w:val="hybridMultilevel"/>
    <w:tmpl w:val="7C7075B4"/>
    <w:lvl w:ilvl="0" w:tplc="587C0F18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6155A"/>
    <w:rsid w:val="000734B3"/>
    <w:rsid w:val="000A2A95"/>
    <w:rsid w:val="000D03F6"/>
    <w:rsid w:val="000D1632"/>
    <w:rsid w:val="0011249D"/>
    <w:rsid w:val="00156E45"/>
    <w:rsid w:val="001A70BD"/>
    <w:rsid w:val="0020380A"/>
    <w:rsid w:val="00221465"/>
    <w:rsid w:val="00262282"/>
    <w:rsid w:val="002D4A99"/>
    <w:rsid w:val="00363AC6"/>
    <w:rsid w:val="00384C8F"/>
    <w:rsid w:val="00386C8A"/>
    <w:rsid w:val="003D43C3"/>
    <w:rsid w:val="004140F1"/>
    <w:rsid w:val="0042077B"/>
    <w:rsid w:val="004B381C"/>
    <w:rsid w:val="004F1797"/>
    <w:rsid w:val="004F3C57"/>
    <w:rsid w:val="00546E31"/>
    <w:rsid w:val="005543A2"/>
    <w:rsid w:val="0056209A"/>
    <w:rsid w:val="005757BD"/>
    <w:rsid w:val="005C7941"/>
    <w:rsid w:val="0060433E"/>
    <w:rsid w:val="0064317C"/>
    <w:rsid w:val="00644C3D"/>
    <w:rsid w:val="006B2E68"/>
    <w:rsid w:val="006D75D1"/>
    <w:rsid w:val="0072592D"/>
    <w:rsid w:val="00730AA5"/>
    <w:rsid w:val="00766CF1"/>
    <w:rsid w:val="00770D92"/>
    <w:rsid w:val="0077392F"/>
    <w:rsid w:val="007B3B0F"/>
    <w:rsid w:val="007B6E1E"/>
    <w:rsid w:val="007D533E"/>
    <w:rsid w:val="00850B91"/>
    <w:rsid w:val="008572F0"/>
    <w:rsid w:val="00921157"/>
    <w:rsid w:val="00921528"/>
    <w:rsid w:val="009331E8"/>
    <w:rsid w:val="00982356"/>
    <w:rsid w:val="0098465C"/>
    <w:rsid w:val="009D16A0"/>
    <w:rsid w:val="009E6C38"/>
    <w:rsid w:val="00A156D9"/>
    <w:rsid w:val="00A24556"/>
    <w:rsid w:val="00A50E3D"/>
    <w:rsid w:val="00A808C3"/>
    <w:rsid w:val="00A90142"/>
    <w:rsid w:val="00A94580"/>
    <w:rsid w:val="00AB2639"/>
    <w:rsid w:val="00AC5865"/>
    <w:rsid w:val="00B5311C"/>
    <w:rsid w:val="00C9773E"/>
    <w:rsid w:val="00CB3FAA"/>
    <w:rsid w:val="00CE6AE9"/>
    <w:rsid w:val="00D80963"/>
    <w:rsid w:val="00D90CA8"/>
    <w:rsid w:val="00DC0114"/>
    <w:rsid w:val="00E273A8"/>
    <w:rsid w:val="00E8630E"/>
    <w:rsid w:val="00F56D71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2023-05-17T08:38:00Z</dcterms:created>
  <dcterms:modified xsi:type="dcterms:W3CDTF">2023-05-17T08:38:00Z</dcterms:modified>
</cp:coreProperties>
</file>