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8926"/>
        <w:gridCol w:w="5634"/>
      </w:tblGrid>
      <w:tr w:rsidR="005A6BDF" w:rsidRPr="000F3B02" w14:paraId="428B48BE" w14:textId="77777777" w:rsidTr="00EB3950">
        <w:trPr>
          <w:trHeight w:val="1014"/>
        </w:trPr>
        <w:tc>
          <w:tcPr>
            <w:tcW w:w="14560" w:type="dxa"/>
            <w:gridSpan w:val="2"/>
          </w:tcPr>
          <w:p w14:paraId="5BE69F30" w14:textId="77777777" w:rsidR="00244A71" w:rsidRPr="000F3B02" w:rsidRDefault="00244A71" w:rsidP="00244A71">
            <w:pPr>
              <w:rPr>
                <w:rFonts w:cs="Arial"/>
              </w:rPr>
            </w:pPr>
            <w:bookmarkStart w:id="0" w:name="_GoBack"/>
            <w:bookmarkEnd w:id="0"/>
            <w:r w:rsidRPr="000F3B02">
              <w:rPr>
                <w:rFonts w:cs="Arial"/>
                <w:b/>
              </w:rPr>
              <w:t xml:space="preserve">Bildungsgang: </w:t>
            </w:r>
            <w:r w:rsidRPr="000F3B02">
              <w:rPr>
                <w:rFonts w:cs="Arial"/>
              </w:rPr>
              <w:t>Berufsfachschule Anlage C2, Fachbereich Gesundheit/Soziales</w:t>
            </w:r>
          </w:p>
          <w:p w14:paraId="3975DDCA" w14:textId="77777777" w:rsidR="00244A71" w:rsidRPr="000F3B02" w:rsidRDefault="00244A71" w:rsidP="00244A71">
            <w:pPr>
              <w:rPr>
                <w:rFonts w:cs="Arial"/>
                <w:b/>
              </w:rPr>
            </w:pPr>
            <w:r w:rsidRPr="000F3B02">
              <w:rPr>
                <w:rFonts w:cs="Arial"/>
                <w:b/>
              </w:rPr>
              <w:t xml:space="preserve">Fach: </w:t>
            </w:r>
            <w:r w:rsidRPr="000F3B02">
              <w:rPr>
                <w:rFonts w:cs="Arial"/>
              </w:rPr>
              <w:t>Islamische Religionslehre</w:t>
            </w:r>
          </w:p>
          <w:p w14:paraId="79CA50B1" w14:textId="489CC0BA" w:rsidR="00244A71" w:rsidRPr="000F3B02" w:rsidRDefault="00244A71" w:rsidP="00244A71">
            <w:pPr>
              <w:rPr>
                <w:rFonts w:cs="Arial"/>
              </w:rPr>
            </w:pPr>
            <w:r w:rsidRPr="000F3B02">
              <w:rPr>
                <w:rFonts w:cs="Arial"/>
                <w:b/>
              </w:rPr>
              <w:t xml:space="preserve">Anforderungssituation: </w:t>
            </w:r>
            <w:r w:rsidRPr="000F3B02">
              <w:rPr>
                <w:rFonts w:cs="Arial"/>
              </w:rPr>
              <w:t xml:space="preserve">2 Quellen des Islams </w:t>
            </w:r>
          </w:p>
          <w:p w14:paraId="61868CFC" w14:textId="121E3881" w:rsidR="00244A71" w:rsidRPr="005C7C4A" w:rsidRDefault="00244A71" w:rsidP="005C7C4A">
            <w:pPr>
              <w:rPr>
                <w:rFonts w:cs="Arial"/>
                <w:b/>
                <w:spacing w:val="-4"/>
                <w:sz w:val="18"/>
                <w:szCs w:val="18"/>
              </w:rPr>
            </w:pPr>
            <w:r w:rsidRPr="005C7C4A">
              <w:rPr>
                <w:rFonts w:cs="Arial"/>
                <w:b/>
                <w:spacing w:val="-4"/>
              </w:rPr>
              <w:t xml:space="preserve">Handlungsfeld/Arbeits- und Geschäftsprozesse: </w:t>
            </w:r>
            <w:r w:rsidR="00951D97" w:rsidRPr="005C7C4A">
              <w:rPr>
                <w:rFonts w:cs="Arial"/>
                <w:spacing w:val="-4"/>
              </w:rPr>
              <w:t>1</w:t>
            </w:r>
            <w:r w:rsidR="000F3B02" w:rsidRPr="005C7C4A">
              <w:rPr>
                <w:rFonts w:cs="Arial"/>
                <w:spacing w:val="-4"/>
              </w:rPr>
              <w:t xml:space="preserve"> </w:t>
            </w:r>
            <w:r w:rsidR="00951D97" w:rsidRPr="005C7C4A">
              <w:rPr>
                <w:rFonts w:cs="Arial"/>
                <w:spacing w:val="-4"/>
              </w:rPr>
              <w:t xml:space="preserve">Situations- und personenbezogene Kooperation und Kommunikation mit allen Prozessbeteiligten; </w:t>
            </w:r>
            <w:r w:rsidR="005C7C4A" w:rsidRPr="005C7C4A">
              <w:rPr>
                <w:rFonts w:cs="Arial"/>
                <w:spacing w:val="-4"/>
              </w:rPr>
              <w:br/>
            </w:r>
            <w:r w:rsidR="00951D97" w:rsidRPr="005C7C4A">
              <w:rPr>
                <w:rFonts w:cs="Arial"/>
                <w:spacing w:val="-4"/>
              </w:rPr>
              <w:t>2</w:t>
            </w:r>
            <w:r w:rsidR="000F3B02" w:rsidRPr="005C7C4A">
              <w:rPr>
                <w:rFonts w:cs="Arial"/>
                <w:spacing w:val="-4"/>
              </w:rPr>
              <w:t xml:space="preserve"> </w:t>
            </w:r>
            <w:r w:rsidR="00951D97" w:rsidRPr="005C7C4A">
              <w:rPr>
                <w:rFonts w:cs="Arial"/>
                <w:spacing w:val="-4"/>
              </w:rPr>
              <w:t xml:space="preserve">Analyse von Lebenssituationen; Zielorientierte Begleitung und Unterstützung; </w:t>
            </w:r>
            <w:r w:rsidR="000F3B02" w:rsidRPr="005C7C4A">
              <w:rPr>
                <w:rFonts w:cs="Arial"/>
                <w:spacing w:val="-4"/>
              </w:rPr>
              <w:t>3</w:t>
            </w:r>
            <w:r w:rsidR="00951D97" w:rsidRPr="005C7C4A">
              <w:rPr>
                <w:rFonts w:cs="Arial"/>
                <w:spacing w:val="-4"/>
              </w:rPr>
              <w:t xml:space="preserve"> Krankheitsprävention und Unfallverhütung; </w:t>
            </w:r>
            <w:r w:rsidR="005C7C4A">
              <w:rPr>
                <w:rFonts w:cs="Arial"/>
                <w:spacing w:val="-4"/>
              </w:rPr>
              <w:br/>
            </w:r>
            <w:r w:rsidR="00951D97" w:rsidRPr="005C7C4A">
              <w:rPr>
                <w:rFonts w:cs="Arial"/>
                <w:spacing w:val="-4"/>
              </w:rPr>
              <w:t>4 Förderung einer gesundheitsbewussten Lebensführung</w:t>
            </w:r>
            <w:r w:rsidR="005C7C4A">
              <w:rPr>
                <w:rFonts w:cs="Arial"/>
                <w:spacing w:val="-4"/>
              </w:rPr>
              <w:t>;</w:t>
            </w:r>
            <w:r w:rsidR="00951D97" w:rsidRPr="005C7C4A">
              <w:rPr>
                <w:rFonts w:cs="Arial"/>
                <w:spacing w:val="-4"/>
              </w:rPr>
              <w:t xml:space="preserve"> 5 Personalmanagement; Wahrnehmung von Kundenbedürfnissen</w:t>
            </w:r>
          </w:p>
          <w:p w14:paraId="75D33453" w14:textId="0C5A56C9" w:rsidR="005A6BDF" w:rsidRPr="000F3B02" w:rsidRDefault="00047EEA" w:rsidP="00EB3950">
            <w:pPr>
              <w:spacing w:after="60"/>
              <w:rPr>
                <w:rFonts w:cs="Arial"/>
              </w:rPr>
            </w:pPr>
            <w:r w:rsidRPr="000F3B02">
              <w:rPr>
                <w:rFonts w:cs="Arial"/>
                <w:b/>
              </w:rPr>
              <w:t>Lernsituation</w:t>
            </w:r>
            <w:r w:rsidR="000F3B02" w:rsidRPr="000F3B02">
              <w:rPr>
                <w:rFonts w:cs="Arial"/>
                <w:b/>
              </w:rPr>
              <w:t xml:space="preserve"> Nr.</w:t>
            </w:r>
            <w:r w:rsidR="00244A71" w:rsidRPr="000F3B02">
              <w:rPr>
                <w:rFonts w:cs="Arial"/>
                <w:b/>
              </w:rPr>
              <w:t xml:space="preserve">: </w:t>
            </w:r>
            <w:r w:rsidR="004E20C4" w:rsidRPr="000F3B02">
              <w:rPr>
                <w:rFonts w:cs="Arial"/>
              </w:rPr>
              <w:t xml:space="preserve">2.1 </w:t>
            </w:r>
            <w:r w:rsidR="00103910" w:rsidRPr="000F3B02">
              <w:rPr>
                <w:rFonts w:cs="Arial"/>
              </w:rPr>
              <w:t>Islamische Textquellen und deren Bedeutung für das private und berufliche Leben</w:t>
            </w:r>
            <w:r w:rsidRPr="000F3B02">
              <w:rPr>
                <w:rFonts w:cs="Arial"/>
              </w:rPr>
              <w:t xml:space="preserve"> (10 </w:t>
            </w:r>
            <w:proofErr w:type="spellStart"/>
            <w:r w:rsidRPr="000F3B02">
              <w:rPr>
                <w:rFonts w:cs="Arial"/>
              </w:rPr>
              <w:t>UStd</w:t>
            </w:r>
            <w:proofErr w:type="spellEnd"/>
            <w:r w:rsidRPr="000F3B02">
              <w:rPr>
                <w:rFonts w:cs="Arial"/>
              </w:rPr>
              <w:t>.)</w:t>
            </w:r>
          </w:p>
        </w:tc>
      </w:tr>
      <w:tr w:rsidR="005A6BDF" w:rsidRPr="000F3B02" w14:paraId="38477D99" w14:textId="77777777" w:rsidTr="00EB3950">
        <w:trPr>
          <w:trHeight w:val="1211"/>
        </w:trPr>
        <w:tc>
          <w:tcPr>
            <w:tcW w:w="8926" w:type="dxa"/>
          </w:tcPr>
          <w:p w14:paraId="74726CC6" w14:textId="78B3C7E0" w:rsidR="005A6BDF" w:rsidRDefault="005A6BDF">
            <w:pPr>
              <w:rPr>
                <w:rFonts w:cs="Arial"/>
                <w:b/>
              </w:rPr>
            </w:pPr>
            <w:r w:rsidRPr="000F3B02">
              <w:rPr>
                <w:rFonts w:cs="Arial"/>
                <w:b/>
              </w:rPr>
              <w:t xml:space="preserve">Einstiegsszenario (Handlungsrahmen): </w:t>
            </w:r>
          </w:p>
          <w:p w14:paraId="2407D097" w14:textId="77777777" w:rsidR="00EB3950" w:rsidRPr="000F3B02" w:rsidRDefault="00EB3950">
            <w:pPr>
              <w:rPr>
                <w:rFonts w:cs="Arial"/>
                <w:b/>
              </w:rPr>
            </w:pPr>
          </w:p>
          <w:p w14:paraId="0AE3A3E9" w14:textId="77777777" w:rsidR="00BC443E" w:rsidRDefault="00720BAC" w:rsidP="00021539">
            <w:pPr>
              <w:rPr>
                <w:rFonts w:cs="Arial"/>
              </w:rPr>
            </w:pPr>
            <w:r w:rsidRPr="000F3B02">
              <w:rPr>
                <w:rFonts w:cs="Arial"/>
              </w:rPr>
              <w:t>Vor Beginn ihrer Ausbildung zur Pflegefachkraft macht sich eine muslimische Schülerin viele Gedanken bezüglich ihrer Religionszugehörigkeit und deren mögliche Auswirkung auf die Ausbildung. Sie sucht na</w:t>
            </w:r>
            <w:r w:rsidR="00021539" w:rsidRPr="000F3B02">
              <w:rPr>
                <w:rFonts w:cs="Arial"/>
              </w:rPr>
              <w:t xml:space="preserve">ch möglichen Hilfestellungen in unterschiedlichen Texten des Islams. </w:t>
            </w:r>
          </w:p>
          <w:p w14:paraId="48996A19" w14:textId="7CF62B2F" w:rsidR="00EB3950" w:rsidRPr="000F3B02" w:rsidRDefault="00EB3950" w:rsidP="00021539">
            <w:pPr>
              <w:rPr>
                <w:rFonts w:cs="Arial"/>
              </w:rPr>
            </w:pPr>
          </w:p>
        </w:tc>
        <w:tc>
          <w:tcPr>
            <w:tcW w:w="5634" w:type="dxa"/>
          </w:tcPr>
          <w:p w14:paraId="6FBA923D" w14:textId="5ADA0034" w:rsidR="00D37738" w:rsidRDefault="005A6BDF" w:rsidP="00021539">
            <w:pPr>
              <w:rPr>
                <w:rFonts w:cs="Arial"/>
                <w:b/>
              </w:rPr>
            </w:pPr>
            <w:r w:rsidRPr="000F3B02">
              <w:rPr>
                <w:rFonts w:cs="Arial"/>
                <w:b/>
              </w:rPr>
              <w:t>Handlungsprodukt/Lernergebnis:</w:t>
            </w:r>
          </w:p>
          <w:p w14:paraId="7846B270" w14:textId="77777777" w:rsidR="00EB3950" w:rsidRPr="000F3B02" w:rsidRDefault="00EB3950" w:rsidP="00021539">
            <w:pPr>
              <w:rPr>
                <w:rFonts w:cs="Arial"/>
                <w:b/>
              </w:rPr>
            </w:pPr>
          </w:p>
          <w:p w14:paraId="41C83289" w14:textId="1A404486" w:rsidR="00021539" w:rsidRPr="000F3B02" w:rsidRDefault="00021539" w:rsidP="00021539">
            <w:pPr>
              <w:rPr>
                <w:rFonts w:cs="Arial"/>
              </w:rPr>
            </w:pPr>
            <w:r w:rsidRPr="000F3B02">
              <w:rPr>
                <w:rFonts w:cs="Arial"/>
              </w:rPr>
              <w:t>Leitfaden zur Orientierung im Beruf für Muslime</w:t>
            </w:r>
          </w:p>
        </w:tc>
      </w:tr>
      <w:tr w:rsidR="005A6BDF" w:rsidRPr="000F3B02" w14:paraId="50DE1B68" w14:textId="77777777" w:rsidTr="00EB3950">
        <w:trPr>
          <w:trHeight w:val="671"/>
        </w:trPr>
        <w:tc>
          <w:tcPr>
            <w:tcW w:w="8926" w:type="dxa"/>
          </w:tcPr>
          <w:p w14:paraId="146771F6" w14:textId="11100C2A" w:rsidR="00BC3D13" w:rsidRDefault="005A6BDF" w:rsidP="00D05DC2">
            <w:pPr>
              <w:rPr>
                <w:rFonts w:cs="Arial"/>
                <w:b/>
              </w:rPr>
            </w:pPr>
            <w:r w:rsidRPr="000F3B02">
              <w:rPr>
                <w:rFonts w:cs="Arial"/>
                <w:b/>
              </w:rPr>
              <w:t>Wesentliche Kompetenzen</w:t>
            </w:r>
            <w:r w:rsidR="0027182B" w:rsidRPr="000F3B02">
              <w:rPr>
                <w:rFonts w:cs="Arial"/>
                <w:b/>
              </w:rPr>
              <w:t xml:space="preserve"> </w:t>
            </w:r>
          </w:p>
          <w:p w14:paraId="2FAF71F6" w14:textId="77777777" w:rsidR="00EB3950" w:rsidRPr="000F3B02" w:rsidRDefault="00EB3950" w:rsidP="00D05DC2">
            <w:pPr>
              <w:rPr>
                <w:rFonts w:cs="Arial"/>
                <w:b/>
              </w:rPr>
            </w:pPr>
          </w:p>
          <w:p w14:paraId="2C2235EE" w14:textId="3C695C40" w:rsidR="00032E53" w:rsidRPr="000F3B02" w:rsidRDefault="00032E53" w:rsidP="00D05DC2">
            <w:pPr>
              <w:rPr>
                <w:rFonts w:cs="Arial"/>
                <w:bCs/>
              </w:rPr>
            </w:pPr>
            <w:r w:rsidRPr="000F3B02">
              <w:rPr>
                <w:rFonts w:cs="Arial"/>
                <w:bCs/>
              </w:rPr>
              <w:t>Die Schülerinnen und Schüler</w:t>
            </w:r>
          </w:p>
          <w:p w14:paraId="3104E170" w14:textId="5A97643A" w:rsidR="00BC3D13" w:rsidRPr="000F3B02" w:rsidRDefault="00BC3D13" w:rsidP="00BC3D13">
            <w:pPr>
              <w:pStyle w:val="Listenabsatz"/>
              <w:numPr>
                <w:ilvl w:val="0"/>
                <w:numId w:val="15"/>
              </w:numPr>
              <w:ind w:left="317" w:hanging="284"/>
              <w:rPr>
                <w:rFonts w:cs="Arial"/>
                <w:bCs/>
              </w:rPr>
            </w:pPr>
            <w:r w:rsidRPr="000F3B02">
              <w:rPr>
                <w:rFonts w:cs="Arial"/>
                <w:bCs/>
              </w:rPr>
              <w:t xml:space="preserve">erörtern die Relevanz von Quellentexten (z. B. Koranversen und </w:t>
            </w:r>
            <w:proofErr w:type="spellStart"/>
            <w:r w:rsidRPr="000F3B02">
              <w:rPr>
                <w:rFonts w:cs="Arial"/>
                <w:bCs/>
              </w:rPr>
              <w:t>Hadithen</w:t>
            </w:r>
            <w:proofErr w:type="spellEnd"/>
            <w:r w:rsidRPr="000F3B02">
              <w:rPr>
                <w:rFonts w:cs="Arial"/>
                <w:bCs/>
              </w:rPr>
              <w:t>) für den Aufbau von Glaubens- und Verhaltensdispositionen im privaten Leben und in beruflichen Situationen des Fachbereichs (vgl. Z 1)</w:t>
            </w:r>
          </w:p>
          <w:p w14:paraId="6CD09C6A" w14:textId="1D811EBD" w:rsidR="00D05DC2" w:rsidRPr="000F3B02" w:rsidRDefault="00D05DC2" w:rsidP="00BC3D13">
            <w:pPr>
              <w:pStyle w:val="Listenabsatz"/>
              <w:numPr>
                <w:ilvl w:val="0"/>
                <w:numId w:val="15"/>
              </w:numPr>
              <w:ind w:left="317" w:hanging="284"/>
              <w:rPr>
                <w:rFonts w:cs="Arial"/>
                <w:bCs/>
              </w:rPr>
            </w:pPr>
            <w:r w:rsidRPr="000F3B02">
              <w:rPr>
                <w:rFonts w:cs="Arial"/>
                <w:bCs/>
              </w:rPr>
              <w:t xml:space="preserve">erarbeiten zunehmend selbstständig mit Hilfe ausgewählter Texte der Hauptquellen des Islams Entscheidungskriterien (Koran und </w:t>
            </w:r>
            <w:proofErr w:type="spellStart"/>
            <w:r w:rsidRPr="000F3B02">
              <w:rPr>
                <w:rFonts w:cs="Arial"/>
                <w:bCs/>
              </w:rPr>
              <w:t>Hadith</w:t>
            </w:r>
            <w:proofErr w:type="spellEnd"/>
            <w:r w:rsidRPr="000F3B02">
              <w:rPr>
                <w:rFonts w:cs="Arial"/>
                <w:bCs/>
              </w:rPr>
              <w:t>) (</w:t>
            </w:r>
            <w:r w:rsidR="001D1CD7" w:rsidRPr="000F3B02">
              <w:rPr>
                <w:rFonts w:cs="Arial"/>
                <w:bCs/>
              </w:rPr>
              <w:t xml:space="preserve">vgl. </w:t>
            </w:r>
            <w:r w:rsidRPr="000F3B02">
              <w:rPr>
                <w:rFonts w:cs="Arial"/>
                <w:bCs/>
              </w:rPr>
              <w:t>Z</w:t>
            </w:r>
            <w:r w:rsidR="00BC3D13" w:rsidRPr="000F3B02">
              <w:rPr>
                <w:rFonts w:cs="Arial"/>
                <w:bCs/>
              </w:rPr>
              <w:t xml:space="preserve"> </w:t>
            </w:r>
            <w:r w:rsidR="001D1CD7" w:rsidRPr="000F3B02">
              <w:rPr>
                <w:rFonts w:cs="Arial"/>
                <w:bCs/>
              </w:rPr>
              <w:t>5</w:t>
            </w:r>
            <w:r w:rsidR="00E40207" w:rsidRPr="000F3B02">
              <w:rPr>
                <w:rFonts w:cs="Arial"/>
                <w:bCs/>
              </w:rPr>
              <w:t>)</w:t>
            </w:r>
          </w:p>
          <w:p w14:paraId="134E6348" w14:textId="16E11A85" w:rsidR="00D05DC2" w:rsidRPr="000F3B02" w:rsidRDefault="00D05DC2" w:rsidP="00BC3D13">
            <w:pPr>
              <w:pStyle w:val="Listenabsatz"/>
              <w:numPr>
                <w:ilvl w:val="0"/>
                <w:numId w:val="15"/>
              </w:numPr>
              <w:ind w:left="317" w:hanging="284"/>
              <w:rPr>
                <w:rFonts w:cs="Arial"/>
                <w:bCs/>
              </w:rPr>
            </w:pPr>
            <w:r w:rsidRPr="000F3B02">
              <w:rPr>
                <w:rFonts w:cs="Arial"/>
                <w:bCs/>
              </w:rPr>
              <w:t>setzen weitgehend eigenständig diese Entscheidungskriterien mit ihren persönlichen Entscheidungssituationen und Handlungssituationen in Beziehung (</w:t>
            </w:r>
            <w:r w:rsidR="00E70D29" w:rsidRPr="000F3B02">
              <w:rPr>
                <w:rFonts w:cs="Arial"/>
                <w:bCs/>
              </w:rPr>
              <w:t xml:space="preserve">vgl. </w:t>
            </w:r>
            <w:r w:rsidRPr="000F3B02">
              <w:rPr>
                <w:rFonts w:cs="Arial"/>
                <w:bCs/>
              </w:rPr>
              <w:t>Z</w:t>
            </w:r>
            <w:r w:rsidR="00BC3D13" w:rsidRPr="000F3B02">
              <w:rPr>
                <w:rFonts w:cs="Arial"/>
                <w:bCs/>
              </w:rPr>
              <w:t xml:space="preserve"> </w:t>
            </w:r>
            <w:r w:rsidR="00E70D29" w:rsidRPr="000F3B02">
              <w:rPr>
                <w:rFonts w:cs="Arial"/>
                <w:bCs/>
              </w:rPr>
              <w:t>4</w:t>
            </w:r>
            <w:r w:rsidR="00E40207" w:rsidRPr="000F3B02">
              <w:rPr>
                <w:rFonts w:cs="Arial"/>
                <w:bCs/>
              </w:rPr>
              <w:t>)</w:t>
            </w:r>
          </w:p>
          <w:p w14:paraId="4FC4A4C4" w14:textId="77777777" w:rsidR="00427555" w:rsidRPr="00EB3950" w:rsidRDefault="00D05DC2" w:rsidP="00BC3D13">
            <w:pPr>
              <w:pStyle w:val="Listenabsatz"/>
              <w:numPr>
                <w:ilvl w:val="0"/>
                <w:numId w:val="15"/>
              </w:numPr>
              <w:ind w:left="317" w:hanging="284"/>
              <w:rPr>
                <w:rFonts w:cs="Arial"/>
              </w:rPr>
            </w:pPr>
            <w:r w:rsidRPr="000F3B02">
              <w:rPr>
                <w:rFonts w:cs="Arial"/>
                <w:bCs/>
              </w:rPr>
              <w:t>beurteilen die Bedeutung der ausgewählten Texte aus den Hauptquellen des Islams (Koran und Hadith) für ihre Entscheidungsfindung (</w:t>
            </w:r>
            <w:r w:rsidR="00E70D29" w:rsidRPr="000F3B02">
              <w:rPr>
                <w:rFonts w:cs="Arial"/>
                <w:bCs/>
              </w:rPr>
              <w:t xml:space="preserve">vgl. </w:t>
            </w:r>
            <w:r w:rsidRPr="000F3B02">
              <w:rPr>
                <w:rFonts w:cs="Arial"/>
                <w:bCs/>
              </w:rPr>
              <w:t>Z</w:t>
            </w:r>
            <w:r w:rsidR="00BC3D13" w:rsidRPr="000F3B02">
              <w:rPr>
                <w:rFonts w:cs="Arial"/>
                <w:bCs/>
              </w:rPr>
              <w:t xml:space="preserve"> </w:t>
            </w:r>
            <w:r w:rsidR="001775DC" w:rsidRPr="000F3B02">
              <w:rPr>
                <w:rFonts w:cs="Arial"/>
                <w:bCs/>
              </w:rPr>
              <w:t>4)</w:t>
            </w:r>
          </w:p>
          <w:p w14:paraId="677FBCAE" w14:textId="4B3873F0" w:rsidR="00EB3950" w:rsidRPr="00EB3950" w:rsidRDefault="00EB3950" w:rsidP="00EB3950">
            <w:pPr>
              <w:rPr>
                <w:rFonts w:cs="Arial"/>
              </w:rPr>
            </w:pPr>
          </w:p>
        </w:tc>
        <w:tc>
          <w:tcPr>
            <w:tcW w:w="5634" w:type="dxa"/>
          </w:tcPr>
          <w:p w14:paraId="2A765A3F" w14:textId="77777777" w:rsidR="005A6BDF" w:rsidRPr="000F3B02" w:rsidRDefault="00BD7003">
            <w:pPr>
              <w:rPr>
                <w:rFonts w:cs="Arial"/>
                <w:b/>
              </w:rPr>
            </w:pPr>
            <w:r w:rsidRPr="000F3B02">
              <w:rPr>
                <w:rFonts w:cs="Arial"/>
                <w:b/>
              </w:rPr>
              <w:t xml:space="preserve">Konkretisierung der Inhalte: </w:t>
            </w:r>
          </w:p>
          <w:p w14:paraId="1970E01B" w14:textId="1745ADF0" w:rsidR="000975AE" w:rsidRPr="000F3B02" w:rsidRDefault="000975AE">
            <w:pPr>
              <w:rPr>
                <w:rFonts w:cs="Arial"/>
                <w:b/>
              </w:rPr>
            </w:pPr>
          </w:p>
          <w:p w14:paraId="5349A42A" w14:textId="0040C667" w:rsidR="009D229C" w:rsidRPr="000F3B02" w:rsidRDefault="007C525C" w:rsidP="00123A6C">
            <w:pPr>
              <w:pStyle w:val="Listenabsatz"/>
              <w:numPr>
                <w:ilvl w:val="0"/>
                <w:numId w:val="16"/>
              </w:numPr>
              <w:rPr>
                <w:rFonts w:cs="Arial"/>
              </w:rPr>
            </w:pPr>
            <w:r w:rsidRPr="000F3B02">
              <w:rPr>
                <w:rFonts w:cs="Arial"/>
              </w:rPr>
              <w:t>Alkohol, Ernährung, Pflege des anderen Geschlechts, Umgang mit Trauer im Islam</w:t>
            </w:r>
          </w:p>
          <w:p w14:paraId="557F7222" w14:textId="77777777" w:rsidR="00021539" w:rsidRPr="000F3B02" w:rsidRDefault="00021539" w:rsidP="00123A6C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cs="Arial"/>
              </w:rPr>
            </w:pPr>
            <w:r w:rsidRPr="000F3B02">
              <w:rPr>
                <w:rFonts w:cs="Arial"/>
              </w:rPr>
              <w:t xml:space="preserve">Quellen des Islams </w:t>
            </w:r>
          </w:p>
          <w:p w14:paraId="154A6D6D" w14:textId="77777777" w:rsidR="00021539" w:rsidRPr="000F3B02" w:rsidRDefault="00021539" w:rsidP="00123A6C">
            <w:pPr>
              <w:pStyle w:val="Listenabsatz"/>
              <w:numPr>
                <w:ilvl w:val="0"/>
                <w:numId w:val="16"/>
              </w:numPr>
              <w:rPr>
                <w:rFonts w:cs="Arial"/>
              </w:rPr>
            </w:pPr>
            <w:r w:rsidRPr="000F3B02">
              <w:rPr>
                <w:rFonts w:cs="Arial"/>
              </w:rPr>
              <w:t>Primäre Quellen: Koran und Sunna</w:t>
            </w:r>
          </w:p>
          <w:p w14:paraId="5C62AEF0" w14:textId="6354B7BA" w:rsidR="00BC443E" w:rsidRPr="000F3B02" w:rsidRDefault="00021539" w:rsidP="00123A6C">
            <w:pPr>
              <w:pStyle w:val="Listenabsatz"/>
              <w:numPr>
                <w:ilvl w:val="0"/>
                <w:numId w:val="16"/>
              </w:numPr>
              <w:rPr>
                <w:rFonts w:cs="Arial"/>
              </w:rPr>
            </w:pPr>
            <w:r w:rsidRPr="000F3B02">
              <w:rPr>
                <w:rFonts w:cs="Arial"/>
              </w:rPr>
              <w:t>Sekundäre Quellen: Al-</w:t>
            </w:r>
            <w:proofErr w:type="spellStart"/>
            <w:r w:rsidRPr="000F3B02">
              <w:rPr>
                <w:rFonts w:cs="Arial"/>
              </w:rPr>
              <w:t>Idschmaa</w:t>
            </w:r>
            <w:proofErr w:type="spellEnd"/>
            <w:r w:rsidRPr="000F3B02">
              <w:rPr>
                <w:rFonts w:cs="Arial"/>
              </w:rPr>
              <w:t>, Al-</w:t>
            </w:r>
            <w:proofErr w:type="spellStart"/>
            <w:r w:rsidRPr="000F3B02">
              <w:rPr>
                <w:rFonts w:cs="Arial"/>
              </w:rPr>
              <w:t>Qijaas</w:t>
            </w:r>
            <w:proofErr w:type="spellEnd"/>
            <w:r w:rsidRPr="000F3B02">
              <w:rPr>
                <w:rFonts w:cs="Arial"/>
              </w:rPr>
              <w:t xml:space="preserve"> (der Analogieschluss), Al-</w:t>
            </w:r>
            <w:proofErr w:type="spellStart"/>
            <w:r w:rsidRPr="000F3B02">
              <w:rPr>
                <w:rFonts w:cs="Arial"/>
              </w:rPr>
              <w:t>Urf</w:t>
            </w:r>
            <w:proofErr w:type="spellEnd"/>
            <w:r w:rsidRPr="000F3B02">
              <w:rPr>
                <w:rFonts w:cs="Arial"/>
              </w:rPr>
              <w:t xml:space="preserve">, </w:t>
            </w:r>
            <w:proofErr w:type="spellStart"/>
            <w:r w:rsidRPr="000F3B02">
              <w:rPr>
                <w:rFonts w:cs="Arial"/>
              </w:rPr>
              <w:t>Ra`i</w:t>
            </w:r>
            <w:proofErr w:type="spellEnd"/>
            <w:r w:rsidRPr="000F3B02">
              <w:rPr>
                <w:rFonts w:cs="Arial"/>
              </w:rPr>
              <w:t xml:space="preserve"> (Methode des persönlichen Urteils)</w:t>
            </w:r>
          </w:p>
        </w:tc>
      </w:tr>
      <w:tr w:rsidR="00E401FD" w:rsidRPr="000F3B02" w14:paraId="7FDB0DF6" w14:textId="77777777" w:rsidTr="00EB3950">
        <w:trPr>
          <w:trHeight w:val="809"/>
        </w:trPr>
        <w:tc>
          <w:tcPr>
            <w:tcW w:w="14560" w:type="dxa"/>
            <w:gridSpan w:val="2"/>
          </w:tcPr>
          <w:p w14:paraId="73CE4609" w14:textId="77777777" w:rsidR="00E401FD" w:rsidRPr="000F3B02" w:rsidRDefault="00E401FD">
            <w:pPr>
              <w:rPr>
                <w:rFonts w:cs="Arial"/>
                <w:b/>
              </w:rPr>
            </w:pPr>
            <w:r w:rsidRPr="000F3B02">
              <w:rPr>
                <w:rFonts w:cs="Arial"/>
                <w:b/>
              </w:rPr>
              <w:t>Lern- und Arbeitstechniken:</w:t>
            </w:r>
          </w:p>
          <w:p w14:paraId="4B61BEA1" w14:textId="44457863" w:rsidR="00E401FD" w:rsidRPr="000F3B02" w:rsidRDefault="00225B83" w:rsidP="008047A6">
            <w:pPr>
              <w:rPr>
                <w:rFonts w:cs="Arial"/>
              </w:rPr>
            </w:pPr>
            <w:r w:rsidRPr="000F3B02">
              <w:rPr>
                <w:rFonts w:cs="Arial"/>
              </w:rPr>
              <w:t>Einzelarbeit, Partnerarbeit, Partner-Puzzle, Präsentation vor dem Plenum</w:t>
            </w:r>
            <w:r w:rsidR="00EB0A41" w:rsidRPr="000F3B02">
              <w:rPr>
                <w:rFonts w:cs="Arial"/>
              </w:rPr>
              <w:t>, selbstgesteuertes Lernen</w:t>
            </w:r>
          </w:p>
        </w:tc>
      </w:tr>
      <w:tr w:rsidR="0040246D" w:rsidRPr="000F3B02" w14:paraId="3D9888A9" w14:textId="77777777" w:rsidTr="00EB3950">
        <w:trPr>
          <w:trHeight w:val="953"/>
        </w:trPr>
        <w:tc>
          <w:tcPr>
            <w:tcW w:w="8926" w:type="dxa"/>
          </w:tcPr>
          <w:p w14:paraId="11B390A7" w14:textId="77777777" w:rsidR="0040246D" w:rsidRPr="000F3B02" w:rsidRDefault="0040246D">
            <w:pPr>
              <w:rPr>
                <w:rFonts w:cs="Arial"/>
                <w:b/>
              </w:rPr>
            </w:pPr>
            <w:r w:rsidRPr="000F3B02">
              <w:rPr>
                <w:rFonts w:cs="Arial"/>
                <w:b/>
              </w:rPr>
              <w:t>Unterrichtsmaterialien/Fundstelle:</w:t>
            </w:r>
          </w:p>
          <w:p w14:paraId="30C11AEE" w14:textId="7FB6587D" w:rsidR="0040246D" w:rsidRPr="000F3B02" w:rsidRDefault="00225B83" w:rsidP="008047A6">
            <w:pPr>
              <w:rPr>
                <w:rFonts w:cs="Arial"/>
              </w:rPr>
            </w:pPr>
            <w:r w:rsidRPr="000F3B02">
              <w:rPr>
                <w:rFonts w:cs="Arial"/>
              </w:rPr>
              <w:t>Einstiegsszenarien, Arbeitsblätter, Texte aus islamischen Quellen</w:t>
            </w:r>
          </w:p>
        </w:tc>
        <w:tc>
          <w:tcPr>
            <w:tcW w:w="5634" w:type="dxa"/>
          </w:tcPr>
          <w:p w14:paraId="7B32E224" w14:textId="77777777" w:rsidR="0040246D" w:rsidRPr="000F3B02" w:rsidRDefault="0040246D" w:rsidP="0040246D">
            <w:pPr>
              <w:rPr>
                <w:rFonts w:cs="Arial"/>
                <w:b/>
              </w:rPr>
            </w:pPr>
            <w:r w:rsidRPr="000F3B02">
              <w:rPr>
                <w:rFonts w:cs="Arial"/>
                <w:b/>
              </w:rPr>
              <w:t>Mögliche Anknüpfungspunkte:</w:t>
            </w:r>
          </w:p>
          <w:p w14:paraId="556C7A31" w14:textId="4A8A3313" w:rsidR="009337DB" w:rsidRPr="000F3B02" w:rsidRDefault="00225B83" w:rsidP="006B5EB7">
            <w:pPr>
              <w:rPr>
                <w:rFonts w:cs="Arial"/>
              </w:rPr>
            </w:pPr>
            <w:r w:rsidRPr="000F3B02">
              <w:rPr>
                <w:rFonts w:cs="Arial"/>
              </w:rPr>
              <w:t xml:space="preserve">Begegnung mit Nicht-Muslimen in einer </w:t>
            </w:r>
            <w:proofErr w:type="spellStart"/>
            <w:r w:rsidRPr="000F3B02">
              <w:rPr>
                <w:rFonts w:cs="Arial"/>
              </w:rPr>
              <w:t>pluralen</w:t>
            </w:r>
            <w:proofErr w:type="spellEnd"/>
            <w:r w:rsidRPr="000F3B02">
              <w:rPr>
                <w:rFonts w:cs="Arial"/>
              </w:rPr>
              <w:t xml:space="preserve"> Gesellschaft, Glaubenspraxis</w:t>
            </w:r>
          </w:p>
        </w:tc>
      </w:tr>
      <w:tr w:rsidR="00E401FD" w:rsidRPr="000F3B02" w14:paraId="3E24EB64" w14:textId="77777777" w:rsidTr="00EB3950">
        <w:trPr>
          <w:trHeight w:val="877"/>
        </w:trPr>
        <w:tc>
          <w:tcPr>
            <w:tcW w:w="14560" w:type="dxa"/>
            <w:gridSpan w:val="2"/>
          </w:tcPr>
          <w:p w14:paraId="1FBF9396" w14:textId="77777777" w:rsidR="00E401FD" w:rsidRPr="000F3B02" w:rsidRDefault="00E401FD">
            <w:pPr>
              <w:rPr>
                <w:rFonts w:cs="Arial"/>
                <w:b/>
              </w:rPr>
            </w:pPr>
            <w:r w:rsidRPr="000F3B02">
              <w:rPr>
                <w:rFonts w:cs="Arial"/>
                <w:b/>
              </w:rPr>
              <w:t>Organisatorische Hinweise:</w:t>
            </w:r>
          </w:p>
          <w:p w14:paraId="138DB351" w14:textId="53F22F12" w:rsidR="00E401FD" w:rsidRPr="000F3B02" w:rsidRDefault="00CB3C1D" w:rsidP="00D31A14">
            <w:pPr>
              <w:rPr>
                <w:rFonts w:cs="Arial"/>
              </w:rPr>
            </w:pPr>
            <w:r w:rsidRPr="000F3B02">
              <w:rPr>
                <w:rFonts w:cs="Arial"/>
              </w:rPr>
              <w:t xml:space="preserve">Raum mit </w:t>
            </w:r>
            <w:r w:rsidR="00225B83" w:rsidRPr="000F3B02">
              <w:rPr>
                <w:rFonts w:cs="Arial"/>
              </w:rPr>
              <w:t>Beamer, D</w:t>
            </w:r>
            <w:r w:rsidRPr="000F3B02">
              <w:rPr>
                <w:rFonts w:cs="Arial"/>
              </w:rPr>
              <w:t>okumentenkamera, Tafel</w:t>
            </w:r>
          </w:p>
        </w:tc>
      </w:tr>
    </w:tbl>
    <w:p w14:paraId="30C665B4" w14:textId="77777777" w:rsidR="00E034B4" w:rsidRPr="00EB3950" w:rsidRDefault="00E034B4" w:rsidP="0005661D">
      <w:pPr>
        <w:rPr>
          <w:sz w:val="16"/>
          <w:szCs w:val="16"/>
        </w:rPr>
      </w:pPr>
    </w:p>
    <w:sectPr w:rsidR="00E034B4" w:rsidRPr="00EB3950" w:rsidSect="00EB3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A4A4E" w14:textId="77777777" w:rsidR="00A223ED" w:rsidRDefault="00A223ED" w:rsidP="009A2BF6">
      <w:pPr>
        <w:spacing w:after="0" w:line="240" w:lineRule="auto"/>
      </w:pPr>
      <w:r>
        <w:separator/>
      </w:r>
    </w:p>
  </w:endnote>
  <w:endnote w:type="continuationSeparator" w:id="0">
    <w:p w14:paraId="67A0DFBB" w14:textId="77777777" w:rsidR="00A223ED" w:rsidRDefault="00A223ED" w:rsidP="009A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DFF0F" w14:textId="77777777" w:rsidR="00BB44B9" w:rsidRDefault="00BB44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AECFF" w14:textId="77777777" w:rsidR="00BB44B9" w:rsidRDefault="00BB44B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F8879" w14:textId="77777777" w:rsidR="00BB44B9" w:rsidRDefault="00BB44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00411" w14:textId="77777777" w:rsidR="00A223ED" w:rsidRDefault="00A223ED" w:rsidP="009A2BF6">
      <w:pPr>
        <w:spacing w:after="0" w:line="240" w:lineRule="auto"/>
      </w:pPr>
      <w:r>
        <w:separator/>
      </w:r>
    </w:p>
  </w:footnote>
  <w:footnote w:type="continuationSeparator" w:id="0">
    <w:p w14:paraId="78CC1674" w14:textId="77777777" w:rsidR="00A223ED" w:rsidRDefault="00A223ED" w:rsidP="009A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78283" w14:textId="77777777" w:rsidR="00BB44B9" w:rsidRDefault="00BB44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5DD4C" w14:textId="46C7928B" w:rsidR="007C0D3A" w:rsidRPr="006B1DEE" w:rsidRDefault="007C0D3A" w:rsidP="00244A71">
    <w:pPr>
      <w:tabs>
        <w:tab w:val="center" w:pos="4536"/>
        <w:tab w:val="right" w:pos="9072"/>
      </w:tabs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A6297" w14:textId="77777777" w:rsidR="00BB44B9" w:rsidRDefault="00BB44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32FF"/>
    <w:multiLevelType w:val="hybridMultilevel"/>
    <w:tmpl w:val="5ED0B674"/>
    <w:lvl w:ilvl="0" w:tplc="040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899" w:hanging="360"/>
      </w:pPr>
    </w:lvl>
    <w:lvl w:ilvl="2" w:tplc="0407001B" w:tentative="1">
      <w:start w:val="1"/>
      <w:numFmt w:val="lowerRoman"/>
      <w:lvlText w:val="%3."/>
      <w:lvlJc w:val="right"/>
      <w:pPr>
        <w:ind w:left="2619" w:hanging="180"/>
      </w:pPr>
    </w:lvl>
    <w:lvl w:ilvl="3" w:tplc="0407000F" w:tentative="1">
      <w:start w:val="1"/>
      <w:numFmt w:val="decimal"/>
      <w:lvlText w:val="%4."/>
      <w:lvlJc w:val="left"/>
      <w:pPr>
        <w:ind w:left="3339" w:hanging="360"/>
      </w:pPr>
    </w:lvl>
    <w:lvl w:ilvl="4" w:tplc="04070019" w:tentative="1">
      <w:start w:val="1"/>
      <w:numFmt w:val="lowerLetter"/>
      <w:lvlText w:val="%5."/>
      <w:lvlJc w:val="left"/>
      <w:pPr>
        <w:ind w:left="4059" w:hanging="360"/>
      </w:pPr>
    </w:lvl>
    <w:lvl w:ilvl="5" w:tplc="0407001B" w:tentative="1">
      <w:start w:val="1"/>
      <w:numFmt w:val="lowerRoman"/>
      <w:lvlText w:val="%6."/>
      <w:lvlJc w:val="right"/>
      <w:pPr>
        <w:ind w:left="4779" w:hanging="180"/>
      </w:pPr>
    </w:lvl>
    <w:lvl w:ilvl="6" w:tplc="0407000F" w:tentative="1">
      <w:start w:val="1"/>
      <w:numFmt w:val="decimal"/>
      <w:lvlText w:val="%7."/>
      <w:lvlJc w:val="left"/>
      <w:pPr>
        <w:ind w:left="5499" w:hanging="360"/>
      </w:pPr>
    </w:lvl>
    <w:lvl w:ilvl="7" w:tplc="04070019" w:tentative="1">
      <w:start w:val="1"/>
      <w:numFmt w:val="lowerLetter"/>
      <w:lvlText w:val="%8."/>
      <w:lvlJc w:val="left"/>
      <w:pPr>
        <w:ind w:left="6219" w:hanging="360"/>
      </w:pPr>
    </w:lvl>
    <w:lvl w:ilvl="8" w:tplc="0407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10BE7F85"/>
    <w:multiLevelType w:val="hybridMultilevel"/>
    <w:tmpl w:val="5B30CF3E"/>
    <w:lvl w:ilvl="0" w:tplc="D32A9A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11A8E"/>
    <w:multiLevelType w:val="hybridMultilevel"/>
    <w:tmpl w:val="DA383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81587"/>
    <w:multiLevelType w:val="hybridMultilevel"/>
    <w:tmpl w:val="5C06D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121FD"/>
    <w:multiLevelType w:val="hybridMultilevel"/>
    <w:tmpl w:val="4C76A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23FFB"/>
    <w:multiLevelType w:val="hybridMultilevel"/>
    <w:tmpl w:val="6CAC68D4"/>
    <w:lvl w:ilvl="0" w:tplc="2BE8B76E">
      <w:numFmt w:val="bullet"/>
      <w:lvlText w:val="-"/>
      <w:lvlJc w:val="left"/>
      <w:pPr>
        <w:ind w:left="819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 w15:restartNumberingAfterBreak="0">
    <w:nsid w:val="3DCD20EE"/>
    <w:multiLevelType w:val="hybridMultilevel"/>
    <w:tmpl w:val="0116E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666F9"/>
    <w:multiLevelType w:val="hybridMultilevel"/>
    <w:tmpl w:val="8012D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444FD"/>
    <w:multiLevelType w:val="hybridMultilevel"/>
    <w:tmpl w:val="BD969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34D96"/>
    <w:multiLevelType w:val="hybridMultilevel"/>
    <w:tmpl w:val="53F2C7CA"/>
    <w:lvl w:ilvl="0" w:tplc="2BE8B76E">
      <w:numFmt w:val="bullet"/>
      <w:lvlText w:val="-"/>
      <w:lvlJc w:val="left"/>
      <w:pPr>
        <w:ind w:left="819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637CE"/>
    <w:multiLevelType w:val="hybridMultilevel"/>
    <w:tmpl w:val="193EA1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854041"/>
    <w:multiLevelType w:val="hybridMultilevel"/>
    <w:tmpl w:val="E2DA50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701666"/>
    <w:multiLevelType w:val="hybridMultilevel"/>
    <w:tmpl w:val="30688BAE"/>
    <w:lvl w:ilvl="0" w:tplc="A404E04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419CD"/>
    <w:multiLevelType w:val="hybridMultilevel"/>
    <w:tmpl w:val="218C7C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031486"/>
    <w:multiLevelType w:val="hybridMultilevel"/>
    <w:tmpl w:val="1A72D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A4447"/>
    <w:multiLevelType w:val="hybridMultilevel"/>
    <w:tmpl w:val="2EF28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15"/>
  </w:num>
  <w:num w:numId="9">
    <w:abstractNumId w:val="10"/>
  </w:num>
  <w:num w:numId="10">
    <w:abstractNumId w:val="11"/>
  </w:num>
  <w:num w:numId="11">
    <w:abstractNumId w:val="8"/>
  </w:num>
  <w:num w:numId="12">
    <w:abstractNumId w:val="12"/>
  </w:num>
  <w:num w:numId="13">
    <w:abstractNumId w:val="1"/>
  </w:num>
  <w:num w:numId="14">
    <w:abstractNumId w:val="4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DF"/>
    <w:rsid w:val="00021539"/>
    <w:rsid w:val="00032E53"/>
    <w:rsid w:val="00044B8F"/>
    <w:rsid w:val="00047EEA"/>
    <w:rsid w:val="0005661D"/>
    <w:rsid w:val="000629C3"/>
    <w:rsid w:val="000975AE"/>
    <w:rsid w:val="000B2BA0"/>
    <w:rsid w:val="000F1491"/>
    <w:rsid w:val="000F3B02"/>
    <w:rsid w:val="00103910"/>
    <w:rsid w:val="00111D59"/>
    <w:rsid w:val="00123A6C"/>
    <w:rsid w:val="00176BBF"/>
    <w:rsid w:val="001775DC"/>
    <w:rsid w:val="00191286"/>
    <w:rsid w:val="00195B00"/>
    <w:rsid w:val="001C275F"/>
    <w:rsid w:val="001C31A7"/>
    <w:rsid w:val="001D1CD7"/>
    <w:rsid w:val="001D315A"/>
    <w:rsid w:val="001E142A"/>
    <w:rsid w:val="001F1471"/>
    <w:rsid w:val="00225B83"/>
    <w:rsid w:val="0023546A"/>
    <w:rsid w:val="00235C2C"/>
    <w:rsid w:val="00243552"/>
    <w:rsid w:val="00244A71"/>
    <w:rsid w:val="0027182B"/>
    <w:rsid w:val="0028260B"/>
    <w:rsid w:val="00282A9B"/>
    <w:rsid w:val="00292DB6"/>
    <w:rsid w:val="002D0250"/>
    <w:rsid w:val="002E359C"/>
    <w:rsid w:val="00311327"/>
    <w:rsid w:val="00312EFA"/>
    <w:rsid w:val="00337133"/>
    <w:rsid w:val="003412E0"/>
    <w:rsid w:val="00366EDF"/>
    <w:rsid w:val="003910FE"/>
    <w:rsid w:val="003D6B2D"/>
    <w:rsid w:val="003E63EC"/>
    <w:rsid w:val="0040246D"/>
    <w:rsid w:val="00427555"/>
    <w:rsid w:val="00452665"/>
    <w:rsid w:val="00462B3D"/>
    <w:rsid w:val="0047528F"/>
    <w:rsid w:val="00495E6D"/>
    <w:rsid w:val="004B673D"/>
    <w:rsid w:val="004E20C4"/>
    <w:rsid w:val="0052030E"/>
    <w:rsid w:val="00520FA4"/>
    <w:rsid w:val="00571D63"/>
    <w:rsid w:val="00593A36"/>
    <w:rsid w:val="005A6BDF"/>
    <w:rsid w:val="005A709C"/>
    <w:rsid w:val="005C7C4A"/>
    <w:rsid w:val="005F6682"/>
    <w:rsid w:val="005F7746"/>
    <w:rsid w:val="00674617"/>
    <w:rsid w:val="006A0911"/>
    <w:rsid w:val="006B1DEE"/>
    <w:rsid w:val="006B5EB7"/>
    <w:rsid w:val="006E713E"/>
    <w:rsid w:val="006F0485"/>
    <w:rsid w:val="006F3C29"/>
    <w:rsid w:val="0070515C"/>
    <w:rsid w:val="00720BAC"/>
    <w:rsid w:val="00792B6E"/>
    <w:rsid w:val="007C0D3A"/>
    <w:rsid w:val="007C525C"/>
    <w:rsid w:val="007D4344"/>
    <w:rsid w:val="008047A6"/>
    <w:rsid w:val="00846010"/>
    <w:rsid w:val="008A2389"/>
    <w:rsid w:val="008A5EC8"/>
    <w:rsid w:val="008B1F41"/>
    <w:rsid w:val="009034C5"/>
    <w:rsid w:val="009337DB"/>
    <w:rsid w:val="00951D97"/>
    <w:rsid w:val="009919D6"/>
    <w:rsid w:val="009A2BF6"/>
    <w:rsid w:val="009C0231"/>
    <w:rsid w:val="009C58D4"/>
    <w:rsid w:val="009D229C"/>
    <w:rsid w:val="009D50DE"/>
    <w:rsid w:val="00A0518B"/>
    <w:rsid w:val="00A105F0"/>
    <w:rsid w:val="00A1537A"/>
    <w:rsid w:val="00A223ED"/>
    <w:rsid w:val="00A33C50"/>
    <w:rsid w:val="00A52512"/>
    <w:rsid w:val="00A54642"/>
    <w:rsid w:val="00A57B03"/>
    <w:rsid w:val="00A660A1"/>
    <w:rsid w:val="00A769C7"/>
    <w:rsid w:val="00AA2734"/>
    <w:rsid w:val="00AD1078"/>
    <w:rsid w:val="00AF38ED"/>
    <w:rsid w:val="00AF7F1C"/>
    <w:rsid w:val="00B22340"/>
    <w:rsid w:val="00BB44B9"/>
    <w:rsid w:val="00BB7269"/>
    <w:rsid w:val="00BC3D13"/>
    <w:rsid w:val="00BC443E"/>
    <w:rsid w:val="00BD7003"/>
    <w:rsid w:val="00C35607"/>
    <w:rsid w:val="00C55FB4"/>
    <w:rsid w:val="00C94FA0"/>
    <w:rsid w:val="00CA1144"/>
    <w:rsid w:val="00CB3C1D"/>
    <w:rsid w:val="00CF155B"/>
    <w:rsid w:val="00D05DC2"/>
    <w:rsid w:val="00D31A14"/>
    <w:rsid w:val="00D37738"/>
    <w:rsid w:val="00D63BE2"/>
    <w:rsid w:val="00D70CE3"/>
    <w:rsid w:val="00D776AD"/>
    <w:rsid w:val="00DA6430"/>
    <w:rsid w:val="00DB7F6C"/>
    <w:rsid w:val="00DC772F"/>
    <w:rsid w:val="00E034B4"/>
    <w:rsid w:val="00E04D40"/>
    <w:rsid w:val="00E0614F"/>
    <w:rsid w:val="00E14985"/>
    <w:rsid w:val="00E22D3B"/>
    <w:rsid w:val="00E30F47"/>
    <w:rsid w:val="00E401FD"/>
    <w:rsid w:val="00E40207"/>
    <w:rsid w:val="00E6466B"/>
    <w:rsid w:val="00E70D29"/>
    <w:rsid w:val="00EB0A41"/>
    <w:rsid w:val="00EB3950"/>
    <w:rsid w:val="00EC2302"/>
    <w:rsid w:val="00F11EEB"/>
    <w:rsid w:val="00F2453B"/>
    <w:rsid w:val="00F264CC"/>
    <w:rsid w:val="00F90388"/>
    <w:rsid w:val="00FA0DCB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4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6EDF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A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A6BD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A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BF6"/>
  </w:style>
  <w:style w:type="paragraph" w:styleId="Fuzeile">
    <w:name w:val="footer"/>
    <w:basedOn w:val="Standard"/>
    <w:link w:val="FuzeileZchn"/>
    <w:uiPriority w:val="99"/>
    <w:unhideWhenUsed/>
    <w:rsid w:val="009A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BF6"/>
  </w:style>
  <w:style w:type="paragraph" w:styleId="Funotentext">
    <w:name w:val="footnote text"/>
    <w:basedOn w:val="Standard"/>
    <w:link w:val="FunotentextZchn"/>
    <w:uiPriority w:val="99"/>
    <w:semiHidden/>
    <w:unhideWhenUsed/>
    <w:rsid w:val="0027182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182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7182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7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7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EEBA9-5580-440B-8F26-12A75B1B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2023-12-06T06:11:00Z</dcterms:created>
  <dcterms:modified xsi:type="dcterms:W3CDTF">2023-12-06T06:11:00Z</dcterms:modified>
</cp:coreProperties>
</file>