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FAC2D" w14:textId="77777777" w:rsidR="00D3649B" w:rsidRDefault="00D3649B" w:rsidP="008666A2">
      <w:pPr>
        <w:spacing w:before="120" w:after="120" w:line="3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Hinweise </w:t>
      </w:r>
      <w:r w:rsidR="002E6D3A">
        <w:rPr>
          <w:rFonts w:ascii="Arial" w:hAnsi="Arial" w:cs="Arial"/>
          <w:b/>
        </w:rPr>
        <w:t xml:space="preserve">zu </w:t>
      </w:r>
      <w:proofErr w:type="spellStart"/>
      <w:r w:rsidR="002E6D3A">
        <w:rPr>
          <w:rFonts w:ascii="Arial" w:hAnsi="Arial" w:cs="Arial"/>
          <w:b/>
        </w:rPr>
        <w:t>Anleitertreffen</w:t>
      </w:r>
      <w:proofErr w:type="spellEnd"/>
      <w:r w:rsidR="008666A2">
        <w:rPr>
          <w:rFonts w:ascii="Arial" w:hAnsi="Arial" w:cs="Arial"/>
          <w:b/>
        </w:rPr>
        <w:t xml:space="preserve"> </w:t>
      </w:r>
      <w:r w:rsidR="002E6D3A">
        <w:rPr>
          <w:rFonts w:ascii="Arial" w:hAnsi="Arial" w:cs="Arial"/>
          <w:b/>
        </w:rPr>
        <w:t>/</w:t>
      </w:r>
      <w:r w:rsidR="008666A2">
        <w:rPr>
          <w:rFonts w:ascii="Arial" w:hAnsi="Arial" w:cs="Arial"/>
          <w:b/>
        </w:rPr>
        <w:t xml:space="preserve"> </w:t>
      </w:r>
      <w:r w:rsidR="002E6D3A">
        <w:rPr>
          <w:rFonts w:ascii="Arial" w:hAnsi="Arial" w:cs="Arial"/>
          <w:b/>
        </w:rPr>
        <w:t>Kooperationsgesprächen</w:t>
      </w:r>
      <w:r>
        <w:rPr>
          <w:rFonts w:ascii="Arial" w:hAnsi="Arial" w:cs="Arial"/>
          <w:b/>
        </w:rPr>
        <w:t xml:space="preserve"> (</w:t>
      </w:r>
      <w:r w:rsidR="00982344">
        <w:rPr>
          <w:rFonts w:ascii="Arial" w:hAnsi="Arial" w:cs="Arial"/>
          <w:b/>
        </w:rPr>
        <w:t>BFS</w:t>
      </w:r>
      <w:r>
        <w:rPr>
          <w:rFonts w:ascii="Arial" w:hAnsi="Arial" w:cs="Arial"/>
          <w:b/>
        </w:rPr>
        <w:t>)</w:t>
      </w:r>
    </w:p>
    <w:p w14:paraId="255D0AE6" w14:textId="77777777" w:rsidR="00D3649B" w:rsidRDefault="00D3649B" w:rsidP="008666A2">
      <w:pPr>
        <w:spacing w:before="120" w:after="120" w:line="340" w:lineRule="exact"/>
        <w:rPr>
          <w:rFonts w:ascii="Arial" w:hAnsi="Arial" w:cs="Arial"/>
          <w:b/>
        </w:rPr>
      </w:pPr>
    </w:p>
    <w:p w14:paraId="7D77D724" w14:textId="74BE866E" w:rsidR="00D3649B" w:rsidRDefault="00D0294F" w:rsidP="008666A2">
      <w:pPr>
        <w:spacing w:before="120" w:after="12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Der Bildungsplan</w:t>
      </w:r>
      <w:r w:rsidR="00D3649B" w:rsidRPr="00B34CBC">
        <w:rPr>
          <w:rFonts w:ascii="Arial" w:hAnsi="Arial" w:cs="Arial"/>
        </w:rPr>
        <w:t xml:space="preserve"> der </w:t>
      </w:r>
      <w:r w:rsidR="00982344">
        <w:rPr>
          <w:rFonts w:ascii="Arial" w:hAnsi="Arial" w:cs="Arial"/>
        </w:rPr>
        <w:t>Berufsfachschule Kinderpflege</w:t>
      </w:r>
      <w:r w:rsidR="00D3649B" w:rsidRPr="00B34CBC">
        <w:rPr>
          <w:rFonts w:ascii="Arial" w:hAnsi="Arial" w:cs="Arial"/>
        </w:rPr>
        <w:t xml:space="preserve"> </w:t>
      </w:r>
      <w:r w:rsidR="00303BF7">
        <w:rPr>
          <w:rFonts w:ascii="Arial" w:hAnsi="Arial" w:cs="Arial"/>
        </w:rPr>
        <w:t xml:space="preserve">sowie der Berufsfachschule Sozialassistenz </w:t>
      </w:r>
      <w:r w:rsidR="00982344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ibt </w:t>
      </w:r>
      <w:r w:rsidR="00982344">
        <w:rPr>
          <w:rFonts w:ascii="Arial" w:hAnsi="Arial" w:cs="Arial"/>
        </w:rPr>
        <w:t>Hinweise auf die Rolle der Praktika und der Praxiseinrichtungen.</w:t>
      </w:r>
    </w:p>
    <w:p w14:paraId="79858C1E" w14:textId="77777777" w:rsidR="00C076A3" w:rsidRDefault="00C076A3" w:rsidP="00866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40" w:lineRule="exact"/>
        <w:rPr>
          <w:rFonts w:ascii="Arial" w:hAnsi="Arial" w:cs="Arial"/>
          <w:color w:val="000000"/>
          <w:sz w:val="20"/>
          <w:szCs w:val="20"/>
        </w:rPr>
      </w:pPr>
      <w:bookmarkStart w:id="0" w:name="P6-A4"/>
      <w:bookmarkEnd w:id="0"/>
      <w:r>
        <w:rPr>
          <w:rFonts w:ascii="Arial" w:hAnsi="Arial" w:cs="Arial"/>
          <w:color w:val="000000"/>
          <w:sz w:val="20"/>
          <w:szCs w:val="20"/>
        </w:rPr>
        <w:t>Berufliche Qualifizierung</w:t>
      </w:r>
    </w:p>
    <w:p w14:paraId="135D4779" w14:textId="77777777" w:rsidR="00C076A3" w:rsidRDefault="00C076A3" w:rsidP="00866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40" w:lineRule="exact"/>
        <w:rPr>
          <w:rFonts w:ascii="Arial" w:hAnsi="Arial" w:cs="Arial"/>
          <w:color w:val="000000"/>
          <w:sz w:val="20"/>
          <w:szCs w:val="20"/>
        </w:rPr>
      </w:pPr>
      <w:r w:rsidRPr="00C076A3">
        <w:rPr>
          <w:rFonts w:ascii="Arial" w:hAnsi="Arial" w:cs="Arial"/>
          <w:color w:val="000000"/>
          <w:sz w:val="20"/>
          <w:szCs w:val="20"/>
        </w:rPr>
        <w:t xml:space="preserve">Lernen erfolgt unter einer beruflichen Perspektive, indem sich die </w:t>
      </w:r>
      <w:proofErr w:type="spellStart"/>
      <w:r w:rsidRPr="00C076A3">
        <w:rPr>
          <w:rFonts w:ascii="Arial" w:hAnsi="Arial" w:cs="Arial"/>
          <w:color w:val="000000"/>
          <w:sz w:val="20"/>
          <w:szCs w:val="20"/>
        </w:rPr>
        <w:t>Schülerinnen</w:t>
      </w:r>
      <w:proofErr w:type="spellEnd"/>
      <w:r w:rsidRPr="00C076A3">
        <w:rPr>
          <w:rFonts w:ascii="Arial" w:hAnsi="Arial" w:cs="Arial"/>
          <w:color w:val="000000"/>
          <w:sz w:val="20"/>
          <w:szCs w:val="20"/>
        </w:rPr>
        <w:t xml:space="preserve"> und </w:t>
      </w:r>
      <w:proofErr w:type="spellStart"/>
      <w:r w:rsidRPr="00C076A3">
        <w:rPr>
          <w:rFonts w:ascii="Arial" w:hAnsi="Arial" w:cs="Arial"/>
          <w:color w:val="000000"/>
          <w:sz w:val="20"/>
          <w:szCs w:val="20"/>
        </w:rPr>
        <w:t>Schüler</w:t>
      </w:r>
      <w:proofErr w:type="spellEnd"/>
      <w:r w:rsidR="006A2C3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76A3">
        <w:rPr>
          <w:rFonts w:ascii="Arial" w:hAnsi="Arial" w:cs="Arial"/>
          <w:color w:val="000000"/>
          <w:sz w:val="20"/>
          <w:szCs w:val="20"/>
        </w:rPr>
        <w:t>mit beruflichen Handlungszusammenhängen im gewählten Fachbereich auseinandersetzen.</w:t>
      </w:r>
      <w:r w:rsidR="006A2C3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76A3">
        <w:rPr>
          <w:rFonts w:ascii="Arial" w:hAnsi="Arial" w:cs="Arial"/>
          <w:color w:val="000000"/>
          <w:sz w:val="20"/>
          <w:szCs w:val="20"/>
        </w:rPr>
        <w:t>Ausgangspunkte von Lernsituationen bzw. Lehr-/Lernarrangements sind daher regelmäßig</w:t>
      </w:r>
      <w:r w:rsidR="006A2C3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76A3">
        <w:rPr>
          <w:rFonts w:ascii="Arial" w:hAnsi="Arial" w:cs="Arial"/>
          <w:color w:val="000000"/>
          <w:sz w:val="20"/>
          <w:szCs w:val="20"/>
        </w:rPr>
        <w:t>praxisrelevante Aufgabenstellungen.</w:t>
      </w:r>
    </w:p>
    <w:p w14:paraId="7C8BA812" w14:textId="77777777" w:rsidR="00C076A3" w:rsidRDefault="00C076A3" w:rsidP="00866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40" w:lineRule="exact"/>
        <w:rPr>
          <w:rFonts w:ascii="Arial" w:hAnsi="Arial" w:cs="Arial"/>
          <w:color w:val="000000"/>
          <w:sz w:val="20"/>
          <w:szCs w:val="20"/>
        </w:rPr>
      </w:pPr>
      <w:r w:rsidRPr="00C076A3">
        <w:rPr>
          <w:rFonts w:ascii="Arial" w:hAnsi="Arial" w:cs="Arial"/>
          <w:color w:val="000000"/>
          <w:sz w:val="20"/>
          <w:szCs w:val="20"/>
        </w:rPr>
        <w:t>Praktika dienen der Ergänzung bzw. Vertiefung des Unterrichts und werden als vielfältige</w:t>
      </w:r>
      <w:r w:rsidR="006A2C3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76A3">
        <w:rPr>
          <w:rFonts w:ascii="Arial" w:hAnsi="Arial" w:cs="Arial"/>
          <w:color w:val="000000"/>
          <w:sz w:val="20"/>
          <w:szCs w:val="20"/>
        </w:rPr>
        <w:t>Impulsgeber zur Vernetzung von Theorie und Praxis genutzt. Sie haben das Ziel, auf das Berufsleben</w:t>
      </w:r>
      <w:r w:rsidR="006A2C3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76A3">
        <w:rPr>
          <w:rFonts w:ascii="Arial" w:hAnsi="Arial" w:cs="Arial"/>
          <w:color w:val="000000"/>
          <w:sz w:val="20"/>
          <w:szCs w:val="20"/>
        </w:rPr>
        <w:t>vorzubereiten und die Berufswahlentscheidung abzusichern. In den Bildungsgängen,</w:t>
      </w:r>
      <w:r w:rsidR="006A2C3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76A3">
        <w:rPr>
          <w:rFonts w:ascii="Arial" w:hAnsi="Arial" w:cs="Arial"/>
          <w:color w:val="000000"/>
          <w:sz w:val="20"/>
          <w:szCs w:val="20"/>
        </w:rPr>
        <w:t xml:space="preserve">in denen eine Berufsausbildung nach Landesrecht </w:t>
      </w:r>
      <w:r w:rsidR="008666A2" w:rsidRPr="00C076A3">
        <w:rPr>
          <w:rFonts w:ascii="Arial" w:hAnsi="Arial" w:cs="Arial"/>
          <w:color w:val="000000"/>
          <w:sz w:val="20"/>
          <w:szCs w:val="20"/>
        </w:rPr>
        <w:t>durchgeführt</w:t>
      </w:r>
      <w:r w:rsidRPr="00C076A3">
        <w:rPr>
          <w:rFonts w:ascii="Arial" w:hAnsi="Arial" w:cs="Arial"/>
          <w:color w:val="000000"/>
          <w:sz w:val="20"/>
          <w:szCs w:val="20"/>
        </w:rPr>
        <w:t xml:space="preserve"> wird, bereiten sie </w:t>
      </w:r>
      <w:r w:rsidR="008666A2" w:rsidRPr="00C076A3">
        <w:rPr>
          <w:rFonts w:ascii="Arial" w:hAnsi="Arial" w:cs="Arial"/>
          <w:color w:val="000000"/>
          <w:sz w:val="20"/>
          <w:szCs w:val="20"/>
        </w:rPr>
        <w:t>darüber</w:t>
      </w:r>
      <w:r w:rsidR="006A2C37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76A3">
        <w:rPr>
          <w:rFonts w:ascii="Arial" w:hAnsi="Arial" w:cs="Arial"/>
          <w:color w:val="000000"/>
          <w:sz w:val="20"/>
          <w:szCs w:val="20"/>
        </w:rPr>
        <w:t>hinaus auf eine qualifizierte Tätigkeit in dem jeweiligen Fachbereich vor.</w:t>
      </w:r>
    </w:p>
    <w:p w14:paraId="14BBC6CF" w14:textId="77777777" w:rsidR="00C076A3" w:rsidRDefault="00C076A3" w:rsidP="00866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40" w:lineRule="exact"/>
        <w:rPr>
          <w:rFonts w:ascii="Arial" w:hAnsi="Arial" w:cs="Arial"/>
          <w:color w:val="000000"/>
          <w:sz w:val="20"/>
          <w:szCs w:val="20"/>
        </w:rPr>
      </w:pPr>
      <w:r w:rsidRPr="00C076A3">
        <w:rPr>
          <w:rFonts w:ascii="Arial" w:hAnsi="Arial" w:cs="Arial"/>
          <w:color w:val="000000"/>
          <w:sz w:val="20"/>
          <w:szCs w:val="20"/>
        </w:rPr>
        <w:t xml:space="preserve">Bei der Auswahl der Einrichtungen sind die regionalen Besonderheiten zu </w:t>
      </w:r>
      <w:r w:rsidR="008666A2" w:rsidRPr="00C076A3">
        <w:rPr>
          <w:rFonts w:ascii="Arial" w:hAnsi="Arial" w:cs="Arial"/>
          <w:color w:val="000000"/>
          <w:sz w:val="20"/>
          <w:szCs w:val="20"/>
        </w:rPr>
        <w:t>berücksichtigen</w:t>
      </w:r>
      <w:r w:rsidRPr="00C076A3">
        <w:rPr>
          <w:rFonts w:ascii="Arial" w:hAnsi="Arial" w:cs="Arial"/>
          <w:color w:val="000000"/>
          <w:sz w:val="20"/>
          <w:szCs w:val="20"/>
        </w:rPr>
        <w:t>.</w:t>
      </w:r>
    </w:p>
    <w:p w14:paraId="02C6A7E1" w14:textId="77777777" w:rsidR="00D3649B" w:rsidRPr="00B34CBC" w:rsidRDefault="00D3649B" w:rsidP="00866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40" w:lineRule="exact"/>
        <w:rPr>
          <w:rFonts w:ascii="Arial" w:hAnsi="Arial" w:cs="Arial"/>
          <w:color w:val="000000"/>
          <w:sz w:val="20"/>
          <w:szCs w:val="20"/>
        </w:rPr>
      </w:pPr>
      <w:r w:rsidRPr="00B34CBC">
        <w:rPr>
          <w:rFonts w:ascii="Arial" w:hAnsi="Arial" w:cs="Arial"/>
          <w:color w:val="000000"/>
          <w:sz w:val="20"/>
          <w:szCs w:val="20"/>
        </w:rPr>
        <w:sym w:font="Symbol" w:char="F05B"/>
      </w:r>
      <w:r w:rsidRPr="00B34CBC">
        <w:rPr>
          <w:rFonts w:ascii="Arial" w:hAnsi="Arial" w:cs="Arial"/>
          <w:color w:val="000000"/>
          <w:sz w:val="20"/>
          <w:szCs w:val="20"/>
        </w:rPr>
        <w:t>...</w:t>
      </w:r>
      <w:r w:rsidRPr="00B34CBC">
        <w:rPr>
          <w:rFonts w:ascii="Arial" w:hAnsi="Arial" w:cs="Arial"/>
          <w:color w:val="000000"/>
          <w:sz w:val="20"/>
          <w:szCs w:val="20"/>
        </w:rPr>
        <w:sym w:font="Symbol" w:char="F05D"/>
      </w:r>
    </w:p>
    <w:p w14:paraId="1A230A74" w14:textId="77777777" w:rsidR="004F3261" w:rsidRDefault="004F3261" w:rsidP="008666A2">
      <w:pPr>
        <w:spacing w:before="120" w:after="120" w:line="340" w:lineRule="exact"/>
        <w:jc w:val="both"/>
        <w:rPr>
          <w:rFonts w:ascii="Arial" w:hAnsi="Arial" w:cs="Arial"/>
        </w:rPr>
      </w:pPr>
    </w:p>
    <w:p w14:paraId="4D54C1F5" w14:textId="77777777" w:rsidR="004B3CC4" w:rsidRDefault="00982344" w:rsidP="008666A2">
      <w:pPr>
        <w:spacing w:before="120" w:after="12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Eine geregelte Form der </w:t>
      </w:r>
      <w:r w:rsidR="00D3649B">
        <w:rPr>
          <w:rFonts w:ascii="Arial" w:hAnsi="Arial" w:cs="Arial"/>
        </w:rPr>
        <w:t xml:space="preserve">Zusammenarbeit mit der beteiligten Einrichtung </w:t>
      </w:r>
      <w:r>
        <w:rPr>
          <w:rFonts w:ascii="Arial" w:hAnsi="Arial" w:cs="Arial"/>
        </w:rPr>
        <w:t>ist unabdingbar</w:t>
      </w:r>
      <w:r w:rsidR="00D3649B">
        <w:rPr>
          <w:rFonts w:ascii="Arial" w:hAnsi="Arial" w:cs="Arial"/>
        </w:rPr>
        <w:t xml:space="preserve">. </w:t>
      </w:r>
      <w:r w:rsidR="002E6D3A">
        <w:rPr>
          <w:rFonts w:ascii="Arial" w:hAnsi="Arial" w:cs="Arial"/>
        </w:rPr>
        <w:t xml:space="preserve">Neben schriftlichen Vereinbarungen ist ein direkter Austausch der Kooperationspartner eine wertvolle Ergänzung. </w:t>
      </w:r>
    </w:p>
    <w:p w14:paraId="47A1BF3A" w14:textId="77777777" w:rsidR="002E6D3A" w:rsidRDefault="002E6D3A" w:rsidP="008666A2">
      <w:pPr>
        <w:spacing w:before="120" w:after="12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Möglichkeiten bzw. Organisationsformen von Kooperationsgesprächen sind z.B.</w:t>
      </w:r>
    </w:p>
    <w:p w14:paraId="2331EB24" w14:textId="1EE2C7AA" w:rsidR="002E6D3A" w:rsidRDefault="002E6D3A" w:rsidP="008666A2">
      <w:pPr>
        <w:pStyle w:val="Listenabsatz"/>
        <w:numPr>
          <w:ilvl w:val="0"/>
          <w:numId w:val="2"/>
        </w:numPr>
        <w:spacing w:before="120" w:after="120" w:line="340" w:lineRule="exac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Ein pädagogischer Beirat, der sich aus Lehrkräften der Berufsfachschule und berufserfahrenen Fachkräften und/oder Leitungen kooperierender Einrichtungen sowie Vertreterinnen</w:t>
      </w:r>
      <w:r w:rsidR="00303BF7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 xml:space="preserve">Vertretern von Trägern oder Jugendämtern zusammensetzt und regelmäßig (z.B. einmal im Jahr) zusammenkommt, um </w:t>
      </w:r>
      <w:r w:rsidR="000535DD">
        <w:rPr>
          <w:rFonts w:ascii="Arial" w:hAnsi="Arial" w:cs="Arial"/>
        </w:rPr>
        <w:t xml:space="preserve">z.B. die </w:t>
      </w:r>
      <w:r w:rsidR="00FE375A">
        <w:rPr>
          <w:rFonts w:ascii="Arial" w:hAnsi="Arial" w:cs="Arial"/>
        </w:rPr>
        <w:t xml:space="preserve">Standards der Ausbildung auf </w:t>
      </w:r>
      <w:r w:rsidR="008666A2">
        <w:rPr>
          <w:rFonts w:ascii="Arial" w:hAnsi="Arial" w:cs="Arial"/>
        </w:rPr>
        <w:t>die aktuelle Anforderung</w:t>
      </w:r>
      <w:r w:rsidR="00FE375A">
        <w:rPr>
          <w:rFonts w:ascii="Arial" w:hAnsi="Arial" w:cs="Arial"/>
        </w:rPr>
        <w:t xml:space="preserve"> hin zu überprüfen.</w:t>
      </w:r>
    </w:p>
    <w:p w14:paraId="4D167A1A" w14:textId="77777777" w:rsidR="00FE375A" w:rsidRPr="008666A2" w:rsidRDefault="00FE375A" w:rsidP="008666A2">
      <w:pPr>
        <w:pStyle w:val="Listenabsatz"/>
        <w:numPr>
          <w:ilvl w:val="0"/>
          <w:numId w:val="2"/>
        </w:numPr>
        <w:spacing w:before="120" w:after="120" w:line="340" w:lineRule="exact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Regelmäßige </w:t>
      </w:r>
      <w:proofErr w:type="spellStart"/>
      <w:r>
        <w:rPr>
          <w:rFonts w:ascii="Arial" w:hAnsi="Arial" w:cs="Arial"/>
        </w:rPr>
        <w:t>Praxisanleitertreffen</w:t>
      </w:r>
      <w:proofErr w:type="spellEnd"/>
      <w:r>
        <w:rPr>
          <w:rFonts w:ascii="Arial" w:hAnsi="Arial" w:cs="Arial"/>
        </w:rPr>
        <w:t xml:space="preserve">, </w:t>
      </w:r>
      <w:r w:rsidRPr="00FE375A">
        <w:rPr>
          <w:rFonts w:ascii="Arial" w:hAnsi="Arial" w:cs="Arial"/>
        </w:rPr>
        <w:t>welche einen gegenseitigen Informations- und Erfahrungsaustausch über die inhaltliche und didaktisch-methodische unterrichtliche Gestaltung sowie über die Weiterentwicklung der</w:t>
      </w:r>
      <w:r>
        <w:rPr>
          <w:rFonts w:ascii="Arial" w:hAnsi="Arial" w:cs="Arial"/>
        </w:rPr>
        <w:t xml:space="preserve"> </w:t>
      </w:r>
      <w:r w:rsidRPr="00FE375A">
        <w:rPr>
          <w:rFonts w:ascii="Arial" w:hAnsi="Arial" w:cs="Arial"/>
        </w:rPr>
        <w:t>Praxisaufgaben ermöglichen.</w:t>
      </w:r>
    </w:p>
    <w:sectPr w:rsidR="00FE375A" w:rsidRPr="008666A2" w:rsidSect="004B3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4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73930" w14:textId="77777777" w:rsidR="00FB6EED" w:rsidRDefault="00FB6EED">
      <w:r>
        <w:separator/>
      </w:r>
    </w:p>
  </w:endnote>
  <w:endnote w:type="continuationSeparator" w:id="0">
    <w:p w14:paraId="6DA88663" w14:textId="77777777" w:rsidR="00FB6EED" w:rsidRDefault="00FB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5451E" w14:textId="77777777" w:rsidR="00303BF7" w:rsidRDefault="00303B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03159" w14:textId="26826829" w:rsidR="004B3CC4" w:rsidRPr="00C54262" w:rsidRDefault="004B3CC4" w:rsidP="004B3CC4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rPr>
        <w:rFonts w:ascii="Calibri" w:eastAsia="Calibri" w:hAnsi="Calibri"/>
        <w:sz w:val="22"/>
        <w:szCs w:val="22"/>
      </w:rPr>
    </w:pPr>
    <w:r w:rsidRPr="00C54262">
      <w:rPr>
        <w:rFonts w:ascii="Calibri" w:eastAsia="Calibri" w:hAnsi="Calibri"/>
        <w:sz w:val="22"/>
        <w:szCs w:val="22"/>
      </w:rPr>
      <w:t>QM-Handbuch  AZAV NRW</w:t>
    </w:r>
    <w:r w:rsidRPr="00C54262">
      <w:rPr>
        <w:rFonts w:ascii="Calibri" w:eastAsia="Calibri" w:hAnsi="Calibri"/>
        <w:sz w:val="22"/>
        <w:szCs w:val="22"/>
      </w:rPr>
      <w:tab/>
    </w:r>
    <w:r w:rsidRPr="00C54262">
      <w:rPr>
        <w:rFonts w:ascii="Calibri" w:eastAsia="Calibri" w:hAnsi="Calibri"/>
        <w:sz w:val="22"/>
        <w:szCs w:val="22"/>
      </w:rPr>
      <w:tab/>
    </w:r>
    <w:r w:rsidR="003B0E75">
      <w:rPr>
        <w:rFonts w:ascii="Calibri" w:eastAsia="Calibri" w:hAnsi="Calibri"/>
        <w:sz w:val="22"/>
        <w:szCs w:val="22"/>
      </w:rPr>
      <w:t>Stand: 03.</w:t>
    </w:r>
    <w:r w:rsidR="00084E7A">
      <w:rPr>
        <w:rFonts w:ascii="Calibri" w:eastAsia="Calibri" w:hAnsi="Calibri"/>
        <w:sz w:val="22"/>
        <w:szCs w:val="22"/>
      </w:rPr>
      <w:t>12.</w:t>
    </w:r>
    <w:r w:rsidR="003B0E75">
      <w:rPr>
        <w:rFonts w:ascii="Calibri" w:eastAsia="Calibri" w:hAnsi="Calibri"/>
        <w:sz w:val="22"/>
        <w:szCs w:val="22"/>
      </w:rPr>
      <w:t>2024</w:t>
    </w:r>
  </w:p>
  <w:p w14:paraId="609DFFC6" w14:textId="77E41CD3" w:rsidR="00A53A41" w:rsidRPr="004B3CC4" w:rsidRDefault="00654835" w:rsidP="004B3CC4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 xml:space="preserve"> FILENAME \* MERGEFORMAT </w:instrText>
    </w:r>
    <w:r>
      <w:rPr>
        <w:rFonts w:ascii="Calibri" w:eastAsia="Calibri" w:hAnsi="Calibri"/>
        <w:sz w:val="22"/>
        <w:szCs w:val="22"/>
      </w:rPr>
      <w:fldChar w:fldCharType="separate"/>
    </w:r>
    <w:r w:rsidR="00183F1B">
      <w:rPr>
        <w:rFonts w:ascii="Calibri" w:eastAsia="Calibri" w:hAnsi="Calibri"/>
        <w:noProof/>
        <w:sz w:val="22"/>
        <w:szCs w:val="22"/>
      </w:rPr>
      <w:t>3.3 NRW Hinweise  Kooperationsgespräche BFS.docx</w:t>
    </w:r>
    <w:r>
      <w:rPr>
        <w:rFonts w:ascii="Calibri" w:eastAsia="Calibri" w:hAnsi="Calibri"/>
        <w:sz w:val="22"/>
        <w:szCs w:val="22"/>
      </w:rPr>
      <w:fldChar w:fldCharType="end"/>
    </w:r>
    <w:r w:rsidR="006A090F">
      <w:rPr>
        <w:rFonts w:ascii="Calibri" w:eastAsia="Calibri" w:hAnsi="Calibri"/>
        <w:sz w:val="22"/>
        <w:szCs w:val="22"/>
      </w:rPr>
      <w:tab/>
    </w:r>
    <w:bookmarkStart w:id="1" w:name="_GoBack"/>
    <w:bookmarkEnd w:id="1"/>
    <w:r w:rsidR="004B3CC4" w:rsidRPr="00C54262">
      <w:rPr>
        <w:rFonts w:ascii="Calibri" w:eastAsia="Calibri" w:hAnsi="Calibri"/>
        <w:sz w:val="22"/>
        <w:szCs w:val="22"/>
      </w:rPr>
      <w:t xml:space="preserve">Seite </w:t>
    </w:r>
    <w:r w:rsidR="004B3CC4" w:rsidRPr="00C54262">
      <w:rPr>
        <w:rFonts w:ascii="Calibri" w:eastAsia="Calibri" w:hAnsi="Calibri"/>
        <w:sz w:val="22"/>
        <w:szCs w:val="22"/>
      </w:rPr>
      <w:fldChar w:fldCharType="begin"/>
    </w:r>
    <w:r w:rsidR="004B3CC4" w:rsidRPr="00C54262">
      <w:rPr>
        <w:rFonts w:ascii="Calibri" w:eastAsia="Calibri" w:hAnsi="Calibri"/>
        <w:sz w:val="22"/>
        <w:szCs w:val="22"/>
      </w:rPr>
      <w:instrText>PAGE   \* MERGEFORMAT</w:instrText>
    </w:r>
    <w:r w:rsidR="004B3CC4" w:rsidRPr="00C54262">
      <w:rPr>
        <w:rFonts w:ascii="Calibri" w:eastAsia="Calibri" w:hAnsi="Calibri"/>
        <w:sz w:val="22"/>
        <w:szCs w:val="22"/>
      </w:rPr>
      <w:fldChar w:fldCharType="separate"/>
    </w:r>
    <w:r w:rsidR="00183F1B">
      <w:rPr>
        <w:rFonts w:ascii="Calibri" w:eastAsia="Calibri" w:hAnsi="Calibri"/>
        <w:noProof/>
        <w:sz w:val="22"/>
        <w:szCs w:val="22"/>
      </w:rPr>
      <w:t>1</w:t>
    </w:r>
    <w:r w:rsidR="004B3CC4" w:rsidRPr="00C54262">
      <w:rPr>
        <w:rFonts w:ascii="Calibri" w:eastAsia="Calibri" w:hAnsi="Calibri"/>
        <w:sz w:val="22"/>
        <w:szCs w:val="22"/>
      </w:rPr>
      <w:fldChar w:fldCharType="end"/>
    </w:r>
    <w:r w:rsidR="00A53A41">
      <w:rPr>
        <w:rFonts w:ascii="Calibri" w:eastAsia="Calibri" w:hAnsi="Calibri"/>
        <w:sz w:val="22"/>
        <w:szCs w:val="22"/>
      </w:rPr>
      <w:t xml:space="preserve"> von </w:t>
    </w:r>
    <w:r w:rsidR="004F3261">
      <w:rPr>
        <w:rFonts w:ascii="Calibri" w:eastAsia="Calibri" w:hAnsi="Calibri"/>
        <w:sz w:val="22"/>
        <w:szCs w:val="2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E352" w14:textId="77777777" w:rsidR="00303BF7" w:rsidRDefault="00303B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D7D7C" w14:textId="77777777" w:rsidR="00FB6EED" w:rsidRDefault="00FB6EED">
      <w:r>
        <w:separator/>
      </w:r>
    </w:p>
  </w:footnote>
  <w:footnote w:type="continuationSeparator" w:id="0">
    <w:p w14:paraId="1E90FC85" w14:textId="77777777" w:rsidR="00FB6EED" w:rsidRDefault="00FB6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26F8F" w14:textId="77777777" w:rsidR="00303BF7" w:rsidRDefault="00303B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2ED54" w14:textId="4B50BC8B" w:rsidR="004B3CC4" w:rsidRDefault="003B0E75" w:rsidP="004B3CC4">
    <w:pPr>
      <w:pStyle w:val="Kopfzeile"/>
    </w:pPr>
    <w:r w:rsidRPr="002B5E84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35E0486" wp14:editId="32FBC795">
          <wp:simplePos x="0" y="0"/>
          <wp:positionH relativeFrom="column">
            <wp:posOffset>3314700</wp:posOffset>
          </wp:positionH>
          <wp:positionV relativeFrom="paragraph">
            <wp:posOffset>75565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2" name="Grafik 2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79D36" w14:textId="77777777" w:rsidR="004B3CC4" w:rsidRDefault="004B3C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2158C" w14:textId="77777777" w:rsidR="00303BF7" w:rsidRDefault="00303B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D6ACC"/>
    <w:multiLevelType w:val="hybridMultilevel"/>
    <w:tmpl w:val="D2A6D124"/>
    <w:lvl w:ilvl="0" w:tplc="AD62FAD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25115"/>
    <w:multiLevelType w:val="hybridMultilevel"/>
    <w:tmpl w:val="A9B29136"/>
    <w:lvl w:ilvl="0" w:tplc="DA045D8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15ADA4E-3380-4283-9885-74ED61A7893E}"/>
    <w:docVar w:name="dgnword-eventsink" w:val="655281152"/>
  </w:docVars>
  <w:rsids>
    <w:rsidRoot w:val="00A95A25"/>
    <w:rsid w:val="000535DD"/>
    <w:rsid w:val="00084E7A"/>
    <w:rsid w:val="00183F1B"/>
    <w:rsid w:val="00210FB8"/>
    <w:rsid w:val="002E6D3A"/>
    <w:rsid w:val="00303BF7"/>
    <w:rsid w:val="00314722"/>
    <w:rsid w:val="003B0E75"/>
    <w:rsid w:val="003E6D82"/>
    <w:rsid w:val="004A357A"/>
    <w:rsid w:val="004B3CC4"/>
    <w:rsid w:val="004F3261"/>
    <w:rsid w:val="00636D9A"/>
    <w:rsid w:val="00654835"/>
    <w:rsid w:val="006A090F"/>
    <w:rsid w:val="006A2C37"/>
    <w:rsid w:val="00703305"/>
    <w:rsid w:val="007174DA"/>
    <w:rsid w:val="008666A2"/>
    <w:rsid w:val="0095423D"/>
    <w:rsid w:val="00982344"/>
    <w:rsid w:val="00A53A41"/>
    <w:rsid w:val="00A744BF"/>
    <w:rsid w:val="00A82066"/>
    <w:rsid w:val="00A95A25"/>
    <w:rsid w:val="00BA42F2"/>
    <w:rsid w:val="00BE52E7"/>
    <w:rsid w:val="00C076A3"/>
    <w:rsid w:val="00D0294F"/>
    <w:rsid w:val="00D3649B"/>
    <w:rsid w:val="00E24FD5"/>
    <w:rsid w:val="00EA4621"/>
    <w:rsid w:val="00FB6EED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CB2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D455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Kopfzeile">
    <w:name w:val="header"/>
    <w:basedOn w:val="Standard"/>
    <w:rsid w:val="00FF0DB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F0DB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47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4722"/>
    <w:rPr>
      <w:rFonts w:ascii="Tahoma" w:hAnsi="Tahoma" w:cs="Tahoma"/>
      <w:sz w:val="16"/>
      <w:szCs w:val="16"/>
    </w:rPr>
  </w:style>
  <w:style w:type="paragraph" w:customStyle="1" w:styleId="Listenabsatz2">
    <w:name w:val="Listenabsatz2"/>
    <w:basedOn w:val="Standard"/>
    <w:rsid w:val="00D364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2E6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2024-12-03T11:22:00Z</dcterms:created>
  <dcterms:modified xsi:type="dcterms:W3CDTF">2025-01-20T14:25:00Z</dcterms:modified>
</cp:coreProperties>
</file>