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A899E" w14:textId="77777777" w:rsidR="0064018A" w:rsidRDefault="0064018A" w:rsidP="0064018A">
      <w:pPr>
        <w:tabs>
          <w:tab w:val="left" w:pos="2268"/>
        </w:tabs>
        <w:spacing w:after="120"/>
        <w:ind w:left="2268" w:hanging="2268"/>
        <w:rPr>
          <w:rFonts w:eastAsia="Times New Roman" w:cs="Arial"/>
          <w:b/>
          <w:szCs w:val="24"/>
          <w:lang w:eastAsia="de-DE"/>
        </w:rPr>
      </w:pPr>
      <w:bookmarkStart w:id="0" w:name="_GoBack"/>
      <w:bookmarkEnd w:id="0"/>
      <w:r w:rsidRPr="0064018A">
        <w:rPr>
          <w:rFonts w:eastAsia="Times New Roman" w:cs="Arial"/>
          <w:b/>
          <w:szCs w:val="24"/>
          <w:lang w:eastAsia="de-DE"/>
        </w:rPr>
        <w:t>Curriculare Analyse</w:t>
      </w: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14572"/>
      </w:tblGrid>
      <w:tr w:rsidR="004F00E4" w:rsidRPr="006870C3" w14:paraId="27F8C94E" w14:textId="77777777" w:rsidTr="00F43990">
        <w:trPr>
          <w:trHeight w:val="850"/>
          <w:jc w:val="center"/>
        </w:trPr>
        <w:tc>
          <w:tcPr>
            <w:tcW w:w="14572" w:type="dxa"/>
          </w:tcPr>
          <w:p w14:paraId="4FC7886B" w14:textId="47CAAA88"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Lernfeld</w:t>
            </w:r>
            <w:r w:rsidR="00E41E2F">
              <w:t xml:space="preserve"> </w:t>
            </w:r>
            <w:r w:rsidRPr="00A7340D">
              <w:rPr>
                <w:rFonts w:eastAsia="Times New Roman" w:cs="Arial"/>
                <w:b/>
                <w:szCs w:val="24"/>
                <w:lang w:eastAsia="de-DE"/>
              </w:rPr>
              <w:t>Nr.</w:t>
            </w:r>
            <w:r w:rsidR="009445DB">
              <w:rPr>
                <w:rFonts w:eastAsia="Times New Roman" w:cs="Arial"/>
                <w:b/>
                <w:szCs w:val="24"/>
                <w:lang w:eastAsia="de-DE"/>
              </w:rPr>
              <w:t xml:space="preserve"> </w:t>
            </w:r>
            <w:r w:rsidR="007B0D73">
              <w:rPr>
                <w:rFonts w:eastAsia="Times New Roman" w:cs="Arial"/>
                <w:b/>
                <w:szCs w:val="24"/>
                <w:lang w:eastAsia="de-DE"/>
              </w:rPr>
              <w:t>2</w:t>
            </w:r>
            <w:r w:rsidR="00980679">
              <w:rPr>
                <w:rFonts w:eastAsia="Times New Roman" w:cs="Arial"/>
                <w:b/>
                <w:szCs w:val="24"/>
                <w:lang w:eastAsia="de-DE"/>
              </w:rPr>
              <w:t xml:space="preserve">: </w:t>
            </w:r>
            <w:r w:rsidR="00980679">
              <w:rPr>
                <w:rFonts w:eastAsia="Times New Roman" w:cs="Arial"/>
                <w:b/>
                <w:szCs w:val="24"/>
                <w:lang w:eastAsia="de-DE"/>
              </w:rPr>
              <w:tab/>
            </w:r>
            <w:r w:rsidR="009445DB">
              <w:rPr>
                <w:rFonts w:cs="Arial"/>
                <w:b/>
              </w:rPr>
              <w:t xml:space="preserve">Zivilrechtliche </w:t>
            </w:r>
            <w:r w:rsidR="001F519C">
              <w:rPr>
                <w:rFonts w:cs="Arial"/>
                <w:b/>
              </w:rPr>
              <w:t>Ansprüche im erstinstanzlichen Verfahren</w:t>
            </w:r>
            <w:r w:rsidR="009445DB">
              <w:rPr>
                <w:rFonts w:cs="Arial"/>
                <w:b/>
              </w:rPr>
              <w:t xml:space="preserve"> begleiten</w:t>
            </w:r>
          </w:p>
          <w:p w14:paraId="34C949AA" w14:textId="0EA40C7A"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Ausbildungsjahr</w:t>
            </w:r>
            <w:r>
              <w:rPr>
                <w:rFonts w:eastAsia="Times New Roman" w:cs="Arial"/>
                <w:b/>
                <w:szCs w:val="24"/>
                <w:lang w:eastAsia="de-DE"/>
              </w:rPr>
              <w:t>:</w:t>
            </w:r>
            <w:r>
              <w:rPr>
                <w:rFonts w:eastAsia="Times New Roman" w:cs="Arial"/>
                <w:b/>
                <w:szCs w:val="24"/>
                <w:lang w:eastAsia="de-DE"/>
              </w:rPr>
              <w:tab/>
            </w:r>
            <w:r w:rsidR="001F519C">
              <w:rPr>
                <w:rFonts w:eastAsia="Times New Roman" w:cs="Arial"/>
                <w:b/>
                <w:szCs w:val="24"/>
                <w:lang w:eastAsia="de-DE"/>
              </w:rPr>
              <w:t>1</w:t>
            </w:r>
          </w:p>
          <w:p w14:paraId="291BBB9A" w14:textId="56986953" w:rsidR="004F00E4" w:rsidRPr="00A7340D" w:rsidRDefault="004F00E4" w:rsidP="001F519C">
            <w:pPr>
              <w:tabs>
                <w:tab w:val="left" w:pos="2268"/>
              </w:tabs>
              <w:spacing w:before="60" w:after="60"/>
              <w:ind w:left="2268" w:hanging="2268"/>
              <w:rPr>
                <w:rFonts w:cs="Arial"/>
                <w:b/>
                <w:szCs w:val="24"/>
              </w:rPr>
            </w:pPr>
            <w:r w:rsidRPr="00A7340D">
              <w:rPr>
                <w:rFonts w:eastAsia="Times New Roman" w:cs="Arial"/>
                <w:b/>
                <w:szCs w:val="24"/>
                <w:lang w:eastAsia="de-DE"/>
              </w:rPr>
              <w:t xml:space="preserve">Zeitrichtwert: </w:t>
            </w:r>
            <w:r>
              <w:rPr>
                <w:rFonts w:eastAsia="Times New Roman" w:cs="Arial"/>
                <w:b/>
                <w:szCs w:val="24"/>
                <w:lang w:eastAsia="de-DE"/>
              </w:rPr>
              <w:tab/>
            </w:r>
            <w:r w:rsidR="001F519C">
              <w:rPr>
                <w:rFonts w:eastAsia="Times New Roman" w:cs="Arial"/>
                <w:b/>
                <w:szCs w:val="24"/>
                <w:lang w:eastAsia="de-DE"/>
              </w:rPr>
              <w:t>120 UStd.</w:t>
            </w:r>
          </w:p>
        </w:tc>
      </w:tr>
    </w:tbl>
    <w:p w14:paraId="0E4F7E52" w14:textId="77777777" w:rsidR="00D64EE3" w:rsidRDefault="00D64EE3" w:rsidP="00546648"/>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2551"/>
        <w:gridCol w:w="5274"/>
        <w:gridCol w:w="4139"/>
        <w:gridCol w:w="2608"/>
      </w:tblGrid>
      <w:tr w:rsidR="004F00E4" w:rsidRPr="006870C3" w14:paraId="25DDBFDE" w14:textId="77777777" w:rsidTr="00823291">
        <w:trPr>
          <w:trHeight w:val="794"/>
          <w:jc w:val="center"/>
        </w:trPr>
        <w:tc>
          <w:tcPr>
            <w:tcW w:w="2551" w:type="dxa"/>
            <w:shd w:val="clear" w:color="auto" w:fill="D9D9D9" w:themeFill="background1" w:themeFillShade="D9"/>
          </w:tcPr>
          <w:p w14:paraId="1AADC01F" w14:textId="77777777" w:rsidR="004F00E4" w:rsidRPr="004F00E4" w:rsidRDefault="004F00E4" w:rsidP="00546648">
            <w:pPr>
              <w:rPr>
                <w:rFonts w:eastAsia="Times New Roman" w:cs="Arial"/>
                <w:b/>
                <w:szCs w:val="24"/>
                <w:lang w:eastAsia="de-DE"/>
              </w:rPr>
            </w:pPr>
            <w:r w:rsidRPr="004F00E4">
              <w:rPr>
                <w:rFonts w:eastAsia="Times New Roman" w:cs="Arial"/>
                <w:b/>
                <w:szCs w:val="24"/>
                <w:lang w:eastAsia="de-DE"/>
              </w:rPr>
              <w:t>Phase der vollständigen Handlung</w:t>
            </w:r>
          </w:p>
        </w:tc>
        <w:tc>
          <w:tcPr>
            <w:tcW w:w="5274" w:type="dxa"/>
            <w:shd w:val="clear" w:color="auto" w:fill="D9D9D9" w:themeFill="background1" w:themeFillShade="D9"/>
          </w:tcPr>
          <w:p w14:paraId="16B01ECF" w14:textId="77777777" w:rsidR="004F00E4" w:rsidRPr="00A7340D" w:rsidRDefault="004F00E4" w:rsidP="00546648">
            <w:pPr>
              <w:rPr>
                <w:rFonts w:cs="Arial"/>
                <w:b/>
                <w:szCs w:val="24"/>
              </w:rPr>
            </w:pPr>
            <w:r>
              <w:rPr>
                <w:rFonts w:cs="Arial"/>
                <w:b/>
                <w:szCs w:val="24"/>
              </w:rPr>
              <w:t xml:space="preserve">Kompetenz aus dem </w:t>
            </w:r>
            <w:r w:rsidR="008F0FFE">
              <w:rPr>
                <w:rFonts w:cs="Arial"/>
                <w:b/>
                <w:szCs w:val="24"/>
              </w:rPr>
              <w:t>Rahmenl</w:t>
            </w:r>
            <w:r>
              <w:rPr>
                <w:rFonts w:cs="Arial"/>
                <w:b/>
                <w:szCs w:val="24"/>
              </w:rPr>
              <w:t>ehrplan</w:t>
            </w:r>
          </w:p>
        </w:tc>
        <w:tc>
          <w:tcPr>
            <w:tcW w:w="4139" w:type="dxa"/>
            <w:shd w:val="clear" w:color="auto" w:fill="D9D9D9" w:themeFill="background1" w:themeFillShade="D9"/>
          </w:tcPr>
          <w:p w14:paraId="7D9AB1DA" w14:textId="77777777" w:rsidR="004F00E4" w:rsidRPr="00A7340D" w:rsidRDefault="004F00E4" w:rsidP="00546648">
            <w:pPr>
              <w:rPr>
                <w:rFonts w:cs="Arial"/>
                <w:b/>
                <w:szCs w:val="24"/>
              </w:rPr>
            </w:pPr>
            <w:r w:rsidRPr="00A7340D">
              <w:rPr>
                <w:rFonts w:cs="Arial"/>
                <w:b/>
                <w:szCs w:val="24"/>
              </w:rPr>
              <w:t>Berufliche Handlungen</w:t>
            </w:r>
            <w:r w:rsidRPr="00A7340D">
              <w:rPr>
                <w:rStyle w:val="Funotenzeichen"/>
                <w:rFonts w:cs="Arial"/>
                <w:b/>
                <w:szCs w:val="24"/>
              </w:rPr>
              <w:footnoteReference w:id="1"/>
            </w:r>
          </w:p>
        </w:tc>
        <w:tc>
          <w:tcPr>
            <w:tcW w:w="2608" w:type="dxa"/>
            <w:shd w:val="clear" w:color="auto" w:fill="D9D9D9" w:themeFill="background1" w:themeFillShade="D9"/>
          </w:tcPr>
          <w:p w14:paraId="32A6036A" w14:textId="77777777" w:rsidR="004F00E4" w:rsidRPr="00A7340D" w:rsidRDefault="004F00E4" w:rsidP="00546648">
            <w:pPr>
              <w:rPr>
                <w:rFonts w:cs="Arial"/>
                <w:b/>
                <w:szCs w:val="24"/>
              </w:rPr>
            </w:pPr>
            <w:r w:rsidRPr="00A7340D">
              <w:rPr>
                <w:rFonts w:cs="Arial"/>
                <w:b/>
                <w:szCs w:val="24"/>
              </w:rPr>
              <w:t>Anmerkungen</w:t>
            </w:r>
            <w:r w:rsidRPr="00A7340D">
              <w:rPr>
                <w:rStyle w:val="Funotenzeichen"/>
                <w:rFonts w:cs="Arial"/>
                <w:b/>
                <w:szCs w:val="24"/>
              </w:rPr>
              <w:footnoteReference w:id="2"/>
            </w:r>
          </w:p>
        </w:tc>
      </w:tr>
      <w:tr w:rsidR="004F00E4" w:rsidRPr="006870C3" w14:paraId="4B5C523E" w14:textId="77777777" w:rsidTr="00823291">
        <w:trPr>
          <w:trHeight w:val="624"/>
          <w:jc w:val="center"/>
        </w:trPr>
        <w:tc>
          <w:tcPr>
            <w:tcW w:w="2551" w:type="dxa"/>
          </w:tcPr>
          <w:p w14:paraId="471670A1" w14:textId="77777777" w:rsidR="004F00E4" w:rsidRPr="00A7340D" w:rsidRDefault="004F00E4" w:rsidP="00546648">
            <w:pPr>
              <w:rPr>
                <w:rFonts w:eastAsia="Times New Roman" w:cs="Arial"/>
                <w:szCs w:val="24"/>
                <w:u w:val="single"/>
                <w:lang w:eastAsia="de-DE"/>
              </w:rPr>
            </w:pPr>
            <w:r>
              <w:rPr>
                <w:rFonts w:cs="Arial"/>
                <w:szCs w:val="24"/>
                <w:u w:val="single"/>
              </w:rPr>
              <w:t>Analysieren:</w:t>
            </w:r>
          </w:p>
        </w:tc>
        <w:tc>
          <w:tcPr>
            <w:tcW w:w="5274" w:type="dxa"/>
          </w:tcPr>
          <w:p w14:paraId="42EBA72E" w14:textId="77777777" w:rsidR="00983315" w:rsidRDefault="007B0D73" w:rsidP="00546648">
            <w:r>
              <w:t xml:space="preserve">Die Schülerinnen und Schüler analysieren die Rechtmäßigkeit zivilrechtlicher Ansprüche (Rechts- und Geschäftsfähigkeit, vertragliche und gesetzliche Anspruchsgrundlagen, Verjährung, Leistungsstörungen) hinsichtlich deren Bedeutung und Eignung für ein Klageverfahren in der ersten Instanz. </w:t>
            </w:r>
          </w:p>
          <w:p w14:paraId="65796F9E" w14:textId="77777777" w:rsidR="00983315" w:rsidRDefault="00983315" w:rsidP="00546648"/>
          <w:p w14:paraId="7EBBED6A" w14:textId="77777777" w:rsidR="004F00E4" w:rsidRPr="00A7340D" w:rsidRDefault="007B0D73" w:rsidP="00546648">
            <w:pPr>
              <w:rPr>
                <w:rFonts w:cs="Arial"/>
                <w:szCs w:val="24"/>
              </w:rPr>
            </w:pPr>
            <w:r>
              <w:t>Sie ermitteln die dafür notwendigen Prozessvoraussetzungen (Zuständigkeiten im Klageverfahren, Partei- und Prozessfähigkeit, Postulationsfähigkeit)</w:t>
            </w:r>
            <w:r w:rsidR="00983315">
              <w:t>.</w:t>
            </w:r>
          </w:p>
        </w:tc>
        <w:tc>
          <w:tcPr>
            <w:tcW w:w="4139" w:type="dxa"/>
          </w:tcPr>
          <w:p w14:paraId="0A9006BA" w14:textId="4DA7DA74" w:rsidR="00D84FE4" w:rsidRDefault="00D84FE4" w:rsidP="00F239A4">
            <w:pPr>
              <w:ind w:left="191" w:hanging="142"/>
              <w:rPr>
                <w:rFonts w:asciiTheme="minorHAnsi" w:hAnsiTheme="minorHAnsi"/>
              </w:rPr>
            </w:pPr>
            <w:r>
              <w:t>Die Schülerinnen</w:t>
            </w:r>
            <w:r w:rsidR="00B270D8">
              <w:t xml:space="preserve"> und Schüler</w:t>
            </w:r>
          </w:p>
          <w:p w14:paraId="525ED3ED" w14:textId="6DDACDF9" w:rsidR="00D84FE4" w:rsidRDefault="00D84FE4" w:rsidP="00B270D8">
            <w:pPr>
              <w:pStyle w:val="Tabellenspiegelstrich"/>
            </w:pPr>
            <w:r>
              <w:t>erfassen die Rechtsfähigkeit von Rechtssubjekten (natürlichen und juristischen Personen)</w:t>
            </w:r>
          </w:p>
          <w:p w14:paraId="1AF51A72" w14:textId="755B4228" w:rsidR="00D84FE4" w:rsidRDefault="00D84FE4" w:rsidP="00B270D8">
            <w:pPr>
              <w:pStyle w:val="Tabellenspiegelstrich"/>
            </w:pPr>
            <w:r>
              <w:t>differenzieren die Stufen der Geschäftsfähigkeit und lösen kleine Fälle zur Thematik, indem sie die §§ 104 ff. BGB anwenden</w:t>
            </w:r>
          </w:p>
          <w:p w14:paraId="480437BE" w14:textId="45D00269" w:rsidR="00D84FE4" w:rsidRDefault="00D84FE4" w:rsidP="00B270D8">
            <w:pPr>
              <w:pStyle w:val="Tabellenspiegelstrich"/>
            </w:pPr>
            <w:r>
              <w:t>erkunden die Begriffe Willenserklärungen und Rechtsgeschäfte</w:t>
            </w:r>
          </w:p>
          <w:p w14:paraId="64DB53EE" w14:textId="73E37C0E" w:rsidR="00D84FE4" w:rsidRDefault="00D84FE4" w:rsidP="00B270D8">
            <w:pPr>
              <w:pStyle w:val="Tabellenspiegelstrich"/>
            </w:pPr>
            <w:r>
              <w:t>erläutern, wie ein Vertrag zustande kommt am Beispiel eines Kaufvertrages (Angebot, Annahme, §§ 145 ff. BGB)</w:t>
            </w:r>
          </w:p>
          <w:p w14:paraId="4D2FBE7B" w14:textId="24C27A16" w:rsidR="00D84FE4" w:rsidRDefault="00365EC4" w:rsidP="00B270D8">
            <w:pPr>
              <w:pStyle w:val="Tabellenspiegelstrich"/>
            </w:pPr>
            <w:r>
              <w:t>ermitteln</w:t>
            </w:r>
            <w:r w:rsidR="00D84FE4">
              <w:t xml:space="preserve"> die wichtigsten Vertragsarten des BGB (Mietvertrag, Werkvertrag, Dienstvertrag, Werklieferungsvertrag, Schenkungsvertrag, Darlehensvertrag (Sachdarlehns- und Gelddarlehensvertrag), Pachtvertrag)</w:t>
            </w:r>
          </w:p>
          <w:p w14:paraId="3BAB598A" w14:textId="03C3E119" w:rsidR="00D84FE4" w:rsidRDefault="00D84FE4" w:rsidP="00B270D8">
            <w:pPr>
              <w:pStyle w:val="Tabellenspiegelstrich"/>
            </w:pPr>
            <w:r>
              <w:lastRenderedPageBreak/>
              <w:t>unterscheiden Verpflichtungs- und Verfügungsgeschäft</w:t>
            </w:r>
          </w:p>
          <w:p w14:paraId="3796C957" w14:textId="647514D6" w:rsidR="00D84FE4" w:rsidRDefault="00D84FE4" w:rsidP="00B270D8">
            <w:pPr>
              <w:pStyle w:val="Tabellenspiegelstrich"/>
            </w:pPr>
            <w:r>
              <w:t>erläutern die Vertragsfreiheit und Ausnahmen (Kontrahierungszwang, Formzwang, AGB)</w:t>
            </w:r>
          </w:p>
          <w:p w14:paraId="2EB6F003" w14:textId="43F44252" w:rsidR="00D84FE4" w:rsidRDefault="00D84FE4" w:rsidP="00B270D8">
            <w:pPr>
              <w:pStyle w:val="Tabellenspiegelstrich"/>
            </w:pPr>
            <w:r>
              <w:t>erfassen gesetzliche Schuldverhältnisse am Beispiel von § 823 Abs. 1 BGB</w:t>
            </w:r>
          </w:p>
          <w:p w14:paraId="3B228206" w14:textId="319AEE01" w:rsidR="00D84FE4" w:rsidRDefault="00D84FE4" w:rsidP="00B270D8">
            <w:pPr>
              <w:pStyle w:val="Tabellenspiegelstrich"/>
            </w:pPr>
            <w:r>
              <w:t>arbeiten Sinn und Zweck von Verjährung heraus und die verschiedenen Verjährungsfristen und wenden diese auf einfache Fälle an, indem sie die Grundsätze der Fristberechnung anwenden inklusive Hemmung und Neubeginn</w:t>
            </w:r>
          </w:p>
          <w:p w14:paraId="35E2FF57" w14:textId="33033B85" w:rsidR="00D84FE4" w:rsidRDefault="00D84FE4" w:rsidP="00B270D8">
            <w:pPr>
              <w:pStyle w:val="Tabellenspiegelstrich"/>
            </w:pPr>
            <w:r>
              <w:t>erarbeiten die Voraussetzungen des Schuldnerverzuges heraus und prüfen kleine Fälle zu § 286 BGB und § 288 BGB</w:t>
            </w:r>
          </w:p>
          <w:p w14:paraId="6F394417" w14:textId="07100C6B" w:rsidR="00315802" w:rsidRPr="005A67D6" w:rsidRDefault="00D84FE4" w:rsidP="00B270D8">
            <w:pPr>
              <w:pStyle w:val="Tabellenspiegelstrich"/>
            </w:pPr>
            <w:r>
              <w:t>erkunden die Sachmängelgewährleistung (Verjährung nur überblicksmäßig und keine Berechnung)</w:t>
            </w:r>
            <w:r w:rsidR="00983315">
              <w:t>.</w:t>
            </w:r>
            <w:r>
              <w:t>ermitteln die</w:t>
            </w:r>
            <w:r w:rsidR="00983315">
              <w:t xml:space="preserve"> </w:t>
            </w:r>
            <w:r>
              <w:t>Prozessvoraussetzungen im zivilrechtlichen Klageverfahren insbesondere Zuständigkeiten sowie Partei-, Prozess- und Postulationsfähigkeit natürlicher und juristischer Personen)</w:t>
            </w:r>
            <w:r w:rsidR="00F92549">
              <w:t>.</w:t>
            </w:r>
          </w:p>
        </w:tc>
        <w:tc>
          <w:tcPr>
            <w:tcW w:w="2608" w:type="dxa"/>
          </w:tcPr>
          <w:p w14:paraId="02F62B0F" w14:textId="77777777" w:rsidR="004F00E4" w:rsidRDefault="00104214" w:rsidP="00B270D8">
            <w:pPr>
              <w:pStyle w:val="Tabellenspiegelstrich"/>
            </w:pPr>
            <w:r>
              <w:lastRenderedPageBreak/>
              <w:t>Habersack</w:t>
            </w:r>
          </w:p>
          <w:p w14:paraId="38DE85F0" w14:textId="77777777" w:rsidR="00104214" w:rsidRDefault="00104214" w:rsidP="00B270D8">
            <w:pPr>
              <w:pStyle w:val="Tabellenspiegelstrich"/>
            </w:pPr>
            <w:r>
              <w:t>Zitierweise von Gesetzen</w:t>
            </w:r>
          </w:p>
          <w:p w14:paraId="4BC51777" w14:textId="77777777" w:rsidR="00104214" w:rsidRDefault="00104214" w:rsidP="00B270D8">
            <w:pPr>
              <w:pStyle w:val="Tabellenspiegelstrich"/>
            </w:pPr>
            <w:r>
              <w:t>Einführung in die Subsumtionstechnik</w:t>
            </w:r>
          </w:p>
          <w:p w14:paraId="63220173" w14:textId="77777777" w:rsidR="00104214" w:rsidRDefault="00104214" w:rsidP="00B270D8">
            <w:pPr>
              <w:pStyle w:val="Tabellenspiegelstrich"/>
            </w:pPr>
            <w:r>
              <w:t>Anwendung der Fachsprache</w:t>
            </w:r>
          </w:p>
          <w:p w14:paraId="2A9E9516" w14:textId="77777777" w:rsidR="00104214" w:rsidRDefault="00104214" w:rsidP="00B270D8">
            <w:pPr>
              <w:pStyle w:val="Tabellenspiegelstrich"/>
            </w:pPr>
            <w:r>
              <w:t xml:space="preserve">Ggf. </w:t>
            </w:r>
            <w:r w:rsidR="00983315">
              <w:t xml:space="preserve">in </w:t>
            </w:r>
            <w:r>
              <w:t>einer Fremdsprache</w:t>
            </w:r>
          </w:p>
          <w:p w14:paraId="20CA2D95" w14:textId="77777777" w:rsidR="00104214" w:rsidRDefault="00104214" w:rsidP="00B270D8">
            <w:pPr>
              <w:pStyle w:val="Tabellenspiegelstrich"/>
            </w:pPr>
            <w:r>
              <w:t>Lernortkooperation</w:t>
            </w:r>
          </w:p>
          <w:p w14:paraId="074376A3" w14:textId="77777777" w:rsidR="00104214" w:rsidRDefault="00104214" w:rsidP="00B270D8">
            <w:pPr>
              <w:pStyle w:val="Tabellenspiegelstrich"/>
            </w:pPr>
            <w:r>
              <w:t>Internet Recherche</w:t>
            </w:r>
          </w:p>
          <w:p w14:paraId="422B05F5" w14:textId="77777777" w:rsidR="00104214" w:rsidRDefault="00104214" w:rsidP="00B270D8">
            <w:pPr>
              <w:pStyle w:val="Tabellenspiegelstrich"/>
            </w:pPr>
            <w:r>
              <w:t>Textverarbeitungs</w:t>
            </w:r>
            <w:r w:rsidR="005043BB">
              <w:t>-</w:t>
            </w:r>
            <w:r>
              <w:t>software</w:t>
            </w:r>
          </w:p>
          <w:p w14:paraId="0790716F" w14:textId="77777777" w:rsidR="00104214" w:rsidRPr="003D4291" w:rsidRDefault="00104214" w:rsidP="00B270D8">
            <w:pPr>
              <w:pStyle w:val="Tabellenspiegelstrich"/>
            </w:pPr>
            <w:r>
              <w:t>Checklisten</w:t>
            </w:r>
          </w:p>
        </w:tc>
      </w:tr>
      <w:tr w:rsidR="004F00E4" w:rsidRPr="006870C3" w14:paraId="5F498AEC" w14:textId="77777777" w:rsidTr="00B270D8">
        <w:trPr>
          <w:cantSplit/>
          <w:trHeight w:val="624"/>
          <w:jc w:val="center"/>
        </w:trPr>
        <w:tc>
          <w:tcPr>
            <w:tcW w:w="2551" w:type="dxa"/>
          </w:tcPr>
          <w:p w14:paraId="2FCBE0BA" w14:textId="77777777" w:rsidR="004F00E4" w:rsidRPr="00A7340D" w:rsidRDefault="004F00E4" w:rsidP="00546648">
            <w:pPr>
              <w:rPr>
                <w:rFonts w:cs="Arial"/>
                <w:szCs w:val="24"/>
                <w:u w:val="single"/>
              </w:rPr>
            </w:pPr>
            <w:r w:rsidRPr="00A7340D">
              <w:rPr>
                <w:rFonts w:cs="Arial"/>
                <w:szCs w:val="24"/>
                <w:u w:val="single"/>
              </w:rPr>
              <w:lastRenderedPageBreak/>
              <w:t>Informieren</w:t>
            </w:r>
            <w:r>
              <w:rPr>
                <w:rFonts w:cs="Arial"/>
                <w:szCs w:val="24"/>
                <w:u w:val="single"/>
              </w:rPr>
              <w:t>:</w:t>
            </w:r>
          </w:p>
        </w:tc>
        <w:tc>
          <w:tcPr>
            <w:tcW w:w="5274" w:type="dxa"/>
          </w:tcPr>
          <w:p w14:paraId="3B790EFF" w14:textId="77777777" w:rsidR="004F00E4" w:rsidRPr="00A7340D" w:rsidRDefault="007B0D73" w:rsidP="00546648">
            <w:pPr>
              <w:rPr>
                <w:rFonts w:cs="Arial"/>
                <w:szCs w:val="24"/>
              </w:rPr>
            </w:pPr>
            <w:r>
              <w:t>Die Schülerinnen und Schüler informieren sich über den Verfahrensablauf des Mahnverfahrens und des Klageverfahrens (Anhängigkeit und Rechtshängigkeit, Klagearten, früher erster Termin, schriftliches Vorverfahren, schriftliches Verfahren, Beweisverfahren) und stellen diese und ihre damit verbundenen Arbeitsprozesse mit Hilfe digitaler Medien da</w:t>
            </w:r>
            <w:r w:rsidR="00983315">
              <w:t>r.</w:t>
            </w:r>
          </w:p>
        </w:tc>
        <w:tc>
          <w:tcPr>
            <w:tcW w:w="4139" w:type="dxa"/>
          </w:tcPr>
          <w:p w14:paraId="2E4114CB" w14:textId="0E669A8C" w:rsidR="00F239A4" w:rsidRDefault="004F00E4" w:rsidP="00F239A4">
            <w:pPr>
              <w:ind w:left="333" w:hanging="284"/>
              <w:rPr>
                <w:rFonts w:cs="Arial"/>
                <w:szCs w:val="24"/>
              </w:rPr>
            </w:pPr>
            <w:r w:rsidRPr="00A7340D">
              <w:rPr>
                <w:rFonts w:cs="Arial"/>
                <w:szCs w:val="24"/>
              </w:rPr>
              <w:t>Die Schülerinnen und Schüle</w:t>
            </w:r>
            <w:r>
              <w:rPr>
                <w:rFonts w:cs="Arial"/>
                <w:szCs w:val="24"/>
              </w:rPr>
              <w:t>r</w:t>
            </w:r>
          </w:p>
          <w:p w14:paraId="11C78684" w14:textId="45458185" w:rsidR="00275C12" w:rsidRPr="00983315" w:rsidRDefault="000D6043" w:rsidP="00B270D8">
            <w:pPr>
              <w:pStyle w:val="Tabellenspiegelstrich"/>
            </w:pPr>
            <w:r w:rsidRPr="00983315">
              <w:t>b</w:t>
            </w:r>
            <w:r w:rsidR="00275C12" w:rsidRPr="00983315">
              <w:t>eschreiben den Ablauf des Mahnverfahrens</w:t>
            </w:r>
          </w:p>
          <w:p w14:paraId="2E803678" w14:textId="6720763A" w:rsidR="00275C12" w:rsidRPr="00983315" w:rsidRDefault="00365EC4" w:rsidP="00B270D8">
            <w:pPr>
              <w:pStyle w:val="Tabellenspiegelstrich"/>
            </w:pPr>
            <w:r w:rsidRPr="00983315">
              <w:t>ü</w:t>
            </w:r>
            <w:r w:rsidR="00275C12" w:rsidRPr="00983315">
              <w:t>berprüfen den Mahnantrag hinsichtlich der formellen Voraussetzungen</w:t>
            </w:r>
          </w:p>
          <w:p w14:paraId="07B65C22" w14:textId="4C1D2041" w:rsidR="00275C12" w:rsidRPr="00983315" w:rsidRDefault="00365EC4" w:rsidP="00B270D8">
            <w:pPr>
              <w:pStyle w:val="Tabellenspiegelstrich"/>
            </w:pPr>
            <w:r w:rsidRPr="00983315">
              <w:t>ü</w:t>
            </w:r>
            <w:r w:rsidR="00275C12" w:rsidRPr="00983315">
              <w:t>bersenden den Mahnantrag an die Antragsgegnerin</w:t>
            </w:r>
            <w:r w:rsidR="00B270D8">
              <w:t xml:space="preserve"> oder den Antragsgegner</w:t>
            </w:r>
          </w:p>
          <w:p w14:paraId="79F94337" w14:textId="3FF59440" w:rsidR="00275C12" w:rsidRPr="00983315" w:rsidRDefault="00365EC4" w:rsidP="00B270D8">
            <w:pPr>
              <w:pStyle w:val="Tabellenspiegelstrich"/>
            </w:pPr>
            <w:r w:rsidRPr="00983315">
              <w:t>re</w:t>
            </w:r>
            <w:r w:rsidR="00275C12" w:rsidRPr="00983315">
              <w:t xml:space="preserve">agieren auf das Verhalten </w:t>
            </w:r>
            <w:r w:rsidR="00B270D8" w:rsidRPr="00983315">
              <w:t>de</w:t>
            </w:r>
            <w:r w:rsidR="00B270D8">
              <w:t>r</w:t>
            </w:r>
            <w:r w:rsidR="00B270D8" w:rsidRPr="00983315">
              <w:t xml:space="preserve"> Antragsgegnerin</w:t>
            </w:r>
            <w:r w:rsidR="00B270D8">
              <w:t xml:space="preserve"> oder des Antragsgegners,</w:t>
            </w:r>
            <w:r w:rsidR="00275C12" w:rsidRPr="00983315">
              <w:t xml:space="preserve"> indem sie das Verfahren nach Widerspruch an die Zivilabteilung abgeben bzw. ohne Widerspruch den Vollstreckungsbescheid erlassen</w:t>
            </w:r>
          </w:p>
          <w:p w14:paraId="6A947E07" w14:textId="0BA0F6CD" w:rsidR="00275C12" w:rsidRPr="00983315" w:rsidRDefault="00365EC4" w:rsidP="00B270D8">
            <w:pPr>
              <w:pStyle w:val="Tabellenspiegelstrich"/>
            </w:pPr>
            <w:r w:rsidRPr="00983315">
              <w:t>i</w:t>
            </w:r>
            <w:r w:rsidR="00275C12" w:rsidRPr="00983315">
              <w:t>nformieren sich über die Begriffe Anhängigkeit und Rechtshängigkeit</w:t>
            </w:r>
            <w:r w:rsidR="00983315">
              <w:t>.</w:t>
            </w:r>
          </w:p>
          <w:p w14:paraId="5DB3C5DB" w14:textId="3BCADB4F" w:rsidR="00275C12" w:rsidRPr="00983315" w:rsidRDefault="00365EC4" w:rsidP="00B270D8">
            <w:pPr>
              <w:pStyle w:val="Tabellenspiegelstrich"/>
            </w:pPr>
            <w:r w:rsidRPr="00983315">
              <w:t>e</w:t>
            </w:r>
            <w:r w:rsidR="00275C12" w:rsidRPr="00983315">
              <w:t>rmitteln die verschiedenen Klagearten</w:t>
            </w:r>
            <w:r w:rsidR="00983315">
              <w:t>.</w:t>
            </w:r>
          </w:p>
          <w:p w14:paraId="54BA514D" w14:textId="488B1480" w:rsidR="00275C12" w:rsidRPr="00983315" w:rsidRDefault="006D2AE1" w:rsidP="00B270D8">
            <w:pPr>
              <w:pStyle w:val="Tabellenspiegelstrich"/>
            </w:pPr>
            <w:r w:rsidRPr="00983315">
              <w:t>s</w:t>
            </w:r>
            <w:r w:rsidR="00275C12" w:rsidRPr="00983315">
              <w:t>tellen die gerichtliche Verfahrensweise dar</w:t>
            </w:r>
          </w:p>
          <w:p w14:paraId="0ACDE2A6" w14:textId="26C67EE9" w:rsidR="00275C12" w:rsidRPr="00983315" w:rsidRDefault="00365EC4" w:rsidP="00B270D8">
            <w:pPr>
              <w:pStyle w:val="Tabellenspiegelstrich"/>
            </w:pPr>
            <w:r w:rsidRPr="00983315">
              <w:t>u</w:t>
            </w:r>
            <w:r w:rsidR="00275C12" w:rsidRPr="00983315">
              <w:t>nterscheiden den frühen ersten Termin und das schriftliche Vorverfahren</w:t>
            </w:r>
          </w:p>
          <w:p w14:paraId="177CAE75" w14:textId="6BF82894" w:rsidR="00275C12" w:rsidRPr="00983315" w:rsidRDefault="00365EC4" w:rsidP="00B270D8">
            <w:pPr>
              <w:pStyle w:val="Tabellenspiegelstrich"/>
            </w:pPr>
            <w:r w:rsidRPr="00983315">
              <w:t>e</w:t>
            </w:r>
            <w:r w:rsidR="00275C12" w:rsidRPr="00983315">
              <w:t>rörtern die Besonderheiten des schriftlichen Verfahrens</w:t>
            </w:r>
          </w:p>
          <w:p w14:paraId="253D822B" w14:textId="00A3E4CF" w:rsidR="00275C12" w:rsidRPr="00983315" w:rsidRDefault="00365EC4" w:rsidP="00B270D8">
            <w:pPr>
              <w:pStyle w:val="Tabellenspiegelstrich"/>
            </w:pPr>
            <w:r w:rsidRPr="00983315">
              <w:t>e</w:t>
            </w:r>
            <w:r w:rsidR="00275C12" w:rsidRPr="00983315">
              <w:t>rkunden die verschiedenen Möglichkeiten der Beweiserhebung</w:t>
            </w:r>
            <w:r w:rsidR="00983315">
              <w:t>.</w:t>
            </w:r>
          </w:p>
        </w:tc>
        <w:tc>
          <w:tcPr>
            <w:tcW w:w="2608" w:type="dxa"/>
          </w:tcPr>
          <w:p w14:paraId="43B75FEC" w14:textId="77777777" w:rsidR="003D4291" w:rsidRDefault="003D4291" w:rsidP="00B270D8">
            <w:pPr>
              <w:pStyle w:val="Tabellenspiegelstrich"/>
            </w:pPr>
            <w:r>
              <w:t>Habersack</w:t>
            </w:r>
          </w:p>
          <w:p w14:paraId="6CE7B254" w14:textId="77777777" w:rsidR="003D4291" w:rsidRDefault="003D4291" w:rsidP="00B270D8">
            <w:pPr>
              <w:pStyle w:val="Tabellenspiegelstrich"/>
            </w:pPr>
            <w:r>
              <w:t>Anwendung der Fachsprache</w:t>
            </w:r>
          </w:p>
          <w:p w14:paraId="0FB1394E" w14:textId="77777777" w:rsidR="003D4291" w:rsidRDefault="003D4291" w:rsidP="00B270D8">
            <w:pPr>
              <w:pStyle w:val="Tabellenspiegelstrich"/>
            </w:pPr>
            <w:r>
              <w:t>Ggf.</w:t>
            </w:r>
            <w:r w:rsidR="00983315">
              <w:t xml:space="preserve"> in</w:t>
            </w:r>
            <w:r>
              <w:t xml:space="preserve"> einer Fremdsprache</w:t>
            </w:r>
          </w:p>
          <w:p w14:paraId="1CF01152" w14:textId="77777777" w:rsidR="003D4291" w:rsidRDefault="003D4291" w:rsidP="00B270D8">
            <w:pPr>
              <w:pStyle w:val="Tabellenspiegelstrich"/>
            </w:pPr>
            <w:r>
              <w:t>Strukturlegepuzzle</w:t>
            </w:r>
          </w:p>
          <w:p w14:paraId="40D5422B" w14:textId="77777777" w:rsidR="003D4291" w:rsidRDefault="003D4291" w:rsidP="00B270D8">
            <w:pPr>
              <w:pStyle w:val="Tabellenspiegelstrich"/>
            </w:pPr>
            <w:r>
              <w:t>Lernortkooperation</w:t>
            </w:r>
          </w:p>
          <w:p w14:paraId="50583B1F" w14:textId="5CDF441A" w:rsidR="003D4291" w:rsidRDefault="003D4291" w:rsidP="00B270D8">
            <w:pPr>
              <w:pStyle w:val="Tabellenspiegelstrich"/>
            </w:pPr>
            <w:r>
              <w:t>Internet</w:t>
            </w:r>
            <w:r w:rsidR="00F92549">
              <w:t>r</w:t>
            </w:r>
            <w:r>
              <w:t>echerche</w:t>
            </w:r>
          </w:p>
          <w:p w14:paraId="63E0E362" w14:textId="77777777" w:rsidR="003D4291" w:rsidRDefault="003D4291" w:rsidP="00B270D8">
            <w:pPr>
              <w:pStyle w:val="Tabellenspiegelstrich"/>
            </w:pPr>
            <w:r>
              <w:t>Textverarbeitungs</w:t>
            </w:r>
            <w:r w:rsidR="005043BB">
              <w:t>-</w:t>
            </w:r>
            <w:r>
              <w:t>software</w:t>
            </w:r>
          </w:p>
          <w:p w14:paraId="45801F9C" w14:textId="77777777" w:rsidR="004F00E4" w:rsidRPr="003D4291" w:rsidRDefault="003D4291" w:rsidP="00B270D8">
            <w:pPr>
              <w:pStyle w:val="Tabellenspiegelstrich"/>
            </w:pPr>
            <w:r w:rsidRPr="003D4291">
              <w:t>Checklisten</w:t>
            </w:r>
          </w:p>
        </w:tc>
      </w:tr>
      <w:tr w:rsidR="004F00E4" w:rsidRPr="006870C3" w14:paraId="53D6A477" w14:textId="77777777" w:rsidTr="00B270D8">
        <w:trPr>
          <w:cantSplit/>
          <w:trHeight w:val="624"/>
          <w:jc w:val="center"/>
        </w:trPr>
        <w:tc>
          <w:tcPr>
            <w:tcW w:w="2551" w:type="dxa"/>
          </w:tcPr>
          <w:p w14:paraId="2363651D" w14:textId="77777777" w:rsidR="004F00E4" w:rsidRPr="00A7340D" w:rsidRDefault="004F00E4" w:rsidP="00546648">
            <w:pPr>
              <w:rPr>
                <w:rFonts w:cs="Arial"/>
                <w:szCs w:val="24"/>
                <w:u w:val="single"/>
              </w:rPr>
            </w:pPr>
            <w:r>
              <w:rPr>
                <w:rFonts w:cs="Arial"/>
                <w:szCs w:val="24"/>
                <w:u w:val="single"/>
              </w:rPr>
              <w:lastRenderedPageBreak/>
              <w:t>Planen:</w:t>
            </w:r>
          </w:p>
        </w:tc>
        <w:tc>
          <w:tcPr>
            <w:tcW w:w="5274" w:type="dxa"/>
          </w:tcPr>
          <w:p w14:paraId="372ADA29" w14:textId="77777777" w:rsidR="004F00E4" w:rsidRPr="00A7340D" w:rsidRDefault="007B0D73" w:rsidP="00546648">
            <w:pPr>
              <w:rPr>
                <w:rFonts w:cs="Arial"/>
                <w:szCs w:val="24"/>
              </w:rPr>
            </w:pPr>
            <w:r>
              <w:t xml:space="preserve">Die Schülerinnen und Schüler wählen für die Darstellung der Verfahrensabläufe eine Präsentationsform. Sie nutzen hierfür digitale Medien und berücksichtigen dabei die Rahmenbedingungen und Präsentationsregeln sowie die Vorschriften zum Urheberrecht. Sie interpretieren und bewerten die von ihnen recherchierten Quellen. Zur </w:t>
            </w:r>
            <w:r w:rsidR="00983315">
              <w:t xml:space="preserve">späteren </w:t>
            </w:r>
            <w:r>
              <w:t>Reflexion und Bewertung von Präsentationen erstellen sie einen Kriterienkatalog.</w:t>
            </w:r>
          </w:p>
        </w:tc>
        <w:tc>
          <w:tcPr>
            <w:tcW w:w="4139" w:type="dxa"/>
          </w:tcPr>
          <w:p w14:paraId="02001B75" w14:textId="7F7D37B3" w:rsidR="00F47CA8" w:rsidRDefault="004F00E4" w:rsidP="00F239A4">
            <w:pPr>
              <w:ind w:left="191" w:hanging="142"/>
              <w:rPr>
                <w:rFonts w:cs="Arial"/>
                <w:szCs w:val="24"/>
              </w:rPr>
            </w:pPr>
            <w:r w:rsidRPr="00A7340D">
              <w:rPr>
                <w:rFonts w:cs="Arial"/>
                <w:szCs w:val="24"/>
              </w:rPr>
              <w:t>Die Schülerinnen und Schüle</w:t>
            </w:r>
            <w:r w:rsidR="00F761CC">
              <w:rPr>
                <w:rFonts w:cs="Arial"/>
                <w:szCs w:val="24"/>
              </w:rPr>
              <w:t>r</w:t>
            </w:r>
          </w:p>
          <w:p w14:paraId="592A12B2" w14:textId="2FF71FEF" w:rsidR="00236DCB" w:rsidRPr="00983315" w:rsidRDefault="00236DCB" w:rsidP="00F761CC">
            <w:pPr>
              <w:pStyle w:val="Tabellenspiegelstrich"/>
            </w:pPr>
            <w:r w:rsidRPr="00983315">
              <w:t>bereiten die Präsentation vor, indem sie ein Konzept entwerfen</w:t>
            </w:r>
            <w:r w:rsidR="00F47CA8" w:rsidRPr="00983315">
              <w:t xml:space="preserve"> </w:t>
            </w:r>
            <w:r w:rsidRPr="00983315">
              <w:t>(Checkliste: Ziele, Botschaft, Inhalte, Darstellung)</w:t>
            </w:r>
          </w:p>
          <w:p w14:paraId="3E1C238A" w14:textId="36A7BB94" w:rsidR="00236DCB" w:rsidRPr="00983315" w:rsidRDefault="00F47CA8" w:rsidP="00F761CC">
            <w:pPr>
              <w:pStyle w:val="Tabellenspiegelstrich"/>
            </w:pPr>
            <w:r w:rsidRPr="00983315">
              <w:t>ermitteln</w:t>
            </w:r>
            <w:r w:rsidR="00236DCB" w:rsidRPr="00983315">
              <w:t xml:space="preserve"> geeignete Präsentationstechniken </w:t>
            </w:r>
            <w:r w:rsidRPr="00983315">
              <w:t>unter Berücksichtigung des Urheberrechts</w:t>
            </w:r>
          </w:p>
          <w:p w14:paraId="588C2CB0" w14:textId="561EE31D" w:rsidR="00982BDF" w:rsidRPr="00983315" w:rsidRDefault="00F47CA8" w:rsidP="00F761CC">
            <w:pPr>
              <w:pStyle w:val="Tabellenspiegelstrich"/>
            </w:pPr>
            <w:r w:rsidRPr="00983315">
              <w:t xml:space="preserve">erstellen einen Kriterienkatalog zur </w:t>
            </w:r>
            <w:r w:rsidR="00E519D9" w:rsidRPr="00983315">
              <w:t>Evaluation der Präsentation</w:t>
            </w:r>
            <w:r w:rsidR="00983315">
              <w:t>.</w:t>
            </w:r>
          </w:p>
        </w:tc>
        <w:tc>
          <w:tcPr>
            <w:tcW w:w="2608" w:type="dxa"/>
          </w:tcPr>
          <w:p w14:paraId="149B47B0" w14:textId="77777777" w:rsidR="003D4291" w:rsidRDefault="003D4291" w:rsidP="00F761CC">
            <w:pPr>
              <w:pStyle w:val="Tabellenspiegelstrich"/>
            </w:pPr>
            <w:r>
              <w:t>Habersack</w:t>
            </w:r>
          </w:p>
          <w:p w14:paraId="2419E60F" w14:textId="77777777" w:rsidR="003D4291" w:rsidRDefault="003D4291" w:rsidP="00F761CC">
            <w:pPr>
              <w:pStyle w:val="Tabellenspiegelstrich"/>
            </w:pPr>
            <w:r>
              <w:t>Anwendung der Fachsprache</w:t>
            </w:r>
          </w:p>
          <w:p w14:paraId="109B8CFE" w14:textId="77777777" w:rsidR="003D4291" w:rsidRDefault="003D4291" w:rsidP="00F761CC">
            <w:pPr>
              <w:pStyle w:val="Tabellenspiegelstrich"/>
            </w:pPr>
            <w:r>
              <w:t xml:space="preserve">Ggf. </w:t>
            </w:r>
            <w:r w:rsidR="00983315">
              <w:t xml:space="preserve">in </w:t>
            </w:r>
            <w:r>
              <w:t>einer Fremdsprache</w:t>
            </w:r>
          </w:p>
          <w:p w14:paraId="3A7CA0F3" w14:textId="79B25D2A" w:rsidR="003D4291" w:rsidRDefault="003D4291" w:rsidP="00F761CC">
            <w:pPr>
              <w:pStyle w:val="Tabellenspiegelstrich"/>
            </w:pPr>
            <w:r>
              <w:t>Internet</w:t>
            </w:r>
            <w:r w:rsidR="00983315">
              <w:t>r</w:t>
            </w:r>
            <w:r>
              <w:t>echerche</w:t>
            </w:r>
          </w:p>
          <w:p w14:paraId="5A37585A" w14:textId="77777777" w:rsidR="003D4291" w:rsidRDefault="003D4291" w:rsidP="00F761CC">
            <w:pPr>
              <w:pStyle w:val="Tabellenspiegelstrich"/>
            </w:pPr>
            <w:r>
              <w:t>Textverarbeitungs</w:t>
            </w:r>
            <w:r w:rsidR="001F519C">
              <w:t>-</w:t>
            </w:r>
            <w:r>
              <w:t>software</w:t>
            </w:r>
          </w:p>
          <w:p w14:paraId="184558E1" w14:textId="501F696F" w:rsidR="003D4291" w:rsidRDefault="003D4291" w:rsidP="00F761CC">
            <w:pPr>
              <w:pStyle w:val="Tabellenspiegelstrich"/>
            </w:pPr>
            <w:r>
              <w:t>Präsentations</w:t>
            </w:r>
            <w:r w:rsidR="00F92549">
              <w:t>-</w:t>
            </w:r>
            <w:r>
              <w:t>software</w:t>
            </w:r>
          </w:p>
          <w:p w14:paraId="376F5D98" w14:textId="77777777" w:rsidR="003D4291" w:rsidRDefault="003D4291" w:rsidP="00F761CC">
            <w:pPr>
              <w:pStyle w:val="Tabellenspiegelstrich"/>
            </w:pPr>
            <w:r w:rsidRPr="003D4291">
              <w:t>Checklisten</w:t>
            </w:r>
          </w:p>
          <w:p w14:paraId="4666705A" w14:textId="77777777" w:rsidR="003D4291" w:rsidRDefault="003D4291" w:rsidP="00F761CC">
            <w:pPr>
              <w:pStyle w:val="Tabellenspiegelstrich"/>
            </w:pPr>
            <w:r>
              <w:t>Feedbackkultur</w:t>
            </w:r>
          </w:p>
          <w:p w14:paraId="62F10842" w14:textId="77777777" w:rsidR="00033179" w:rsidRPr="003D4291" w:rsidRDefault="00033179" w:rsidP="00F761CC">
            <w:pPr>
              <w:pStyle w:val="Tabellenspiegelstrich"/>
            </w:pPr>
            <w:r>
              <w:t>Kompetenzkatalog</w:t>
            </w:r>
          </w:p>
        </w:tc>
      </w:tr>
      <w:tr w:rsidR="004F00E4" w:rsidRPr="006870C3" w14:paraId="737AC071" w14:textId="77777777" w:rsidTr="00B46DD8">
        <w:trPr>
          <w:jc w:val="center"/>
        </w:trPr>
        <w:tc>
          <w:tcPr>
            <w:tcW w:w="2551" w:type="dxa"/>
          </w:tcPr>
          <w:p w14:paraId="6C7056EC" w14:textId="77777777" w:rsidR="004F00E4" w:rsidRPr="00A7340D" w:rsidRDefault="004F00E4" w:rsidP="00546648">
            <w:pPr>
              <w:rPr>
                <w:rFonts w:eastAsia="Times New Roman" w:cs="Arial"/>
                <w:szCs w:val="24"/>
                <w:u w:val="single"/>
                <w:lang w:eastAsia="de-DE"/>
              </w:rPr>
            </w:pPr>
            <w:r>
              <w:rPr>
                <w:rFonts w:cs="Arial"/>
                <w:szCs w:val="24"/>
                <w:u w:val="single"/>
              </w:rPr>
              <w:t>Entscheiden:</w:t>
            </w:r>
          </w:p>
        </w:tc>
        <w:tc>
          <w:tcPr>
            <w:tcW w:w="5274" w:type="dxa"/>
          </w:tcPr>
          <w:p w14:paraId="2CC398F1" w14:textId="77777777" w:rsidR="004F00E4" w:rsidRPr="00A7340D" w:rsidRDefault="007B0D73" w:rsidP="00546648">
            <w:pPr>
              <w:rPr>
                <w:rFonts w:cs="Arial"/>
                <w:szCs w:val="24"/>
              </w:rPr>
            </w:pPr>
            <w:r>
              <w:t>Die Schülerinnen und Schüler beurteilen die verschiedenen Möglichkeiten der Beendigung des Zivilprozesses (Urteil, Vergleich, Klagerücknahme, Erledigung in der Hauptsache) und analysieren dabei die Besonderheiten des Säumnisverfahrens.</w:t>
            </w:r>
          </w:p>
        </w:tc>
        <w:tc>
          <w:tcPr>
            <w:tcW w:w="4139" w:type="dxa"/>
          </w:tcPr>
          <w:p w14:paraId="66CF1D1B" w14:textId="06ABD3C7" w:rsidR="004F00E4" w:rsidRDefault="004F00E4" w:rsidP="00F239A4">
            <w:pPr>
              <w:ind w:left="191" w:hanging="142"/>
              <w:rPr>
                <w:rFonts w:cs="Arial"/>
                <w:szCs w:val="24"/>
              </w:rPr>
            </w:pPr>
            <w:r w:rsidRPr="00A7340D">
              <w:rPr>
                <w:rFonts w:cs="Arial"/>
                <w:szCs w:val="24"/>
              </w:rPr>
              <w:t>Die Schülerinnen und Schüle</w:t>
            </w:r>
            <w:r>
              <w:rPr>
                <w:rFonts w:cs="Arial"/>
                <w:szCs w:val="24"/>
              </w:rPr>
              <w:t>r</w:t>
            </w:r>
          </w:p>
          <w:p w14:paraId="329C808E" w14:textId="3880DFA1" w:rsidR="003A4D4F" w:rsidRDefault="00983315" w:rsidP="00F761CC">
            <w:pPr>
              <w:pStyle w:val="Tabellenspiegelstrich"/>
            </w:pPr>
            <w:r>
              <w:t>u</w:t>
            </w:r>
            <w:r w:rsidR="003A4D4F">
              <w:t>nterscheiden die Urteilsarten</w:t>
            </w:r>
          </w:p>
          <w:p w14:paraId="38FCA912" w14:textId="7720BA86" w:rsidR="003A4D4F" w:rsidRDefault="00E37AB9" w:rsidP="00F761CC">
            <w:pPr>
              <w:pStyle w:val="Tabellenspiegelstrich"/>
            </w:pPr>
            <w:r>
              <w:t>l</w:t>
            </w:r>
            <w:r w:rsidR="003A4D4F">
              <w:t>isten die Bestandteile eines Urteils auf</w:t>
            </w:r>
          </w:p>
          <w:p w14:paraId="4FEED714" w14:textId="505E41AF" w:rsidR="003A4D4F" w:rsidRDefault="00E37AB9" w:rsidP="00F761CC">
            <w:pPr>
              <w:pStyle w:val="Tabellenspiegelstrich"/>
            </w:pPr>
            <w:r>
              <w:t>k</w:t>
            </w:r>
            <w:r w:rsidR="003A4D4F">
              <w:t>ennen die Ausnahmen (§ 313b, §313a)</w:t>
            </w:r>
          </w:p>
          <w:p w14:paraId="18BDF54E" w14:textId="4EB2F373" w:rsidR="003A4D4F" w:rsidRDefault="00E37AB9" w:rsidP="00F761CC">
            <w:pPr>
              <w:pStyle w:val="Tabellenspiegelstrich"/>
            </w:pPr>
            <w:r>
              <w:t>b</w:t>
            </w:r>
            <w:r w:rsidR="003A4D4F">
              <w:t xml:space="preserve">eschreiben </w:t>
            </w:r>
            <w:r w:rsidR="00F761CC">
              <w:t>die Verkündung durch Zustellung</w:t>
            </w:r>
          </w:p>
          <w:p w14:paraId="4A787F69" w14:textId="057A5742" w:rsidR="003A4D4F" w:rsidRDefault="00E37AB9" w:rsidP="00F761CC">
            <w:pPr>
              <w:pStyle w:val="Tabellenspiegelstrich"/>
            </w:pPr>
            <w:r>
              <w:t>z</w:t>
            </w:r>
            <w:r w:rsidR="003A4D4F">
              <w:t>eigen die Voraussetzungen für einen Vergleich auf</w:t>
            </w:r>
          </w:p>
          <w:p w14:paraId="0BBCC354" w14:textId="68A58DDD" w:rsidR="003A4D4F" w:rsidRDefault="00E37AB9" w:rsidP="00F761CC">
            <w:pPr>
              <w:pStyle w:val="Tabellenspiegelstrich"/>
            </w:pPr>
            <w:r>
              <w:t>e</w:t>
            </w:r>
            <w:r w:rsidR="003A4D4F">
              <w:t>rklären die Besonderheiten der Klagerücknahme (Unterschied Klageverzicht)</w:t>
            </w:r>
          </w:p>
          <w:p w14:paraId="639E1B5F" w14:textId="7245169C" w:rsidR="003A4D4F" w:rsidRPr="00AA22F7" w:rsidRDefault="003A4D4F" w:rsidP="00F761CC">
            <w:pPr>
              <w:pStyle w:val="Tabellenspiegelstrich"/>
            </w:pPr>
            <w:r w:rsidRPr="00E37AB9">
              <w:t>kennen die Voraussetzungen</w:t>
            </w:r>
            <w:r w:rsidR="00F92549">
              <w:t xml:space="preserve"> </w:t>
            </w:r>
            <w:r w:rsidRPr="00AA22F7">
              <w:t>für die Erledigung der Hauptsache</w:t>
            </w:r>
          </w:p>
          <w:p w14:paraId="438CEBA5" w14:textId="220D169C" w:rsidR="003A4D4F" w:rsidRPr="00A3442D" w:rsidRDefault="00E37AB9" w:rsidP="00F761CC">
            <w:pPr>
              <w:pStyle w:val="Tabellenspiegelstrich"/>
            </w:pPr>
            <w:r w:rsidRPr="00AA22F7">
              <w:t>k</w:t>
            </w:r>
            <w:r w:rsidR="003A4D4F" w:rsidRPr="00AA22F7">
              <w:t>ennen die Voraussetzungen VU</w:t>
            </w:r>
          </w:p>
          <w:p w14:paraId="1038F482" w14:textId="6ECF199D" w:rsidR="003A4D4F" w:rsidRPr="00A3442D" w:rsidRDefault="00E37AB9" w:rsidP="00F761CC">
            <w:pPr>
              <w:pStyle w:val="Tabellenspiegelstrich"/>
            </w:pPr>
            <w:r w:rsidRPr="00A3442D">
              <w:t>w</w:t>
            </w:r>
            <w:r w:rsidR="003A4D4F" w:rsidRPr="00A3442D">
              <w:t>issen, wann ein VU ergeht</w:t>
            </w:r>
          </w:p>
          <w:p w14:paraId="7408D15A" w14:textId="72008C74" w:rsidR="003A4D4F" w:rsidRPr="00A3442D" w:rsidRDefault="003A4D4F" w:rsidP="00F761CC">
            <w:pPr>
              <w:pStyle w:val="Tabellenspiegelstrich"/>
            </w:pPr>
            <w:r w:rsidRPr="00A3442D">
              <w:t>Können das 1. VU vom 2. VU</w:t>
            </w:r>
            <w:r w:rsidR="00E37AB9" w:rsidRPr="00A3442D">
              <w:t xml:space="preserve"> unterscheiden</w:t>
            </w:r>
          </w:p>
          <w:p w14:paraId="17704113" w14:textId="18D15819" w:rsidR="003A4D4F" w:rsidRPr="00F761CC" w:rsidRDefault="00E37AB9" w:rsidP="00F761CC">
            <w:pPr>
              <w:pStyle w:val="Tabellenspiegelstrich"/>
            </w:pPr>
            <w:r w:rsidRPr="00A3442D">
              <w:lastRenderedPageBreak/>
              <w:t>k</w:t>
            </w:r>
            <w:r w:rsidR="003A4D4F" w:rsidRPr="00A3442D">
              <w:t>ennen die Möglichkeiten, wenn beide Parteien säumig sind</w:t>
            </w:r>
            <w:r w:rsidRPr="00A3442D">
              <w:t>.</w:t>
            </w:r>
          </w:p>
        </w:tc>
        <w:tc>
          <w:tcPr>
            <w:tcW w:w="2608" w:type="dxa"/>
          </w:tcPr>
          <w:p w14:paraId="487D2CD3" w14:textId="77777777" w:rsidR="003D4291" w:rsidRDefault="003D4291" w:rsidP="00F761CC">
            <w:pPr>
              <w:pStyle w:val="Tabellenspiegelstrich"/>
            </w:pPr>
            <w:r>
              <w:lastRenderedPageBreak/>
              <w:t>Habersack</w:t>
            </w:r>
          </w:p>
          <w:p w14:paraId="052D8577" w14:textId="77777777" w:rsidR="003D4291" w:rsidRDefault="003D4291" w:rsidP="00F761CC">
            <w:pPr>
              <w:pStyle w:val="Tabellenspiegelstrich"/>
            </w:pPr>
            <w:r>
              <w:t>Vertiefung der Rechtsanwendung</w:t>
            </w:r>
          </w:p>
          <w:p w14:paraId="3E65EA1E" w14:textId="77777777" w:rsidR="003D4291" w:rsidRDefault="003D4291" w:rsidP="00F761CC">
            <w:pPr>
              <w:pStyle w:val="Tabellenspiegelstrich"/>
            </w:pPr>
            <w:r>
              <w:t>Erstellung von Übersichten</w:t>
            </w:r>
          </w:p>
          <w:p w14:paraId="66D34A1A" w14:textId="77777777" w:rsidR="003D4291" w:rsidRDefault="003D4291" w:rsidP="00F761CC">
            <w:pPr>
              <w:pStyle w:val="Tabellenspiegelstrich"/>
            </w:pPr>
            <w:r>
              <w:t>Anwendung der Fachsprache</w:t>
            </w:r>
          </w:p>
          <w:p w14:paraId="52CEB30B" w14:textId="77777777" w:rsidR="003D4291" w:rsidRDefault="003D4291" w:rsidP="00F761CC">
            <w:pPr>
              <w:pStyle w:val="Tabellenspiegelstrich"/>
            </w:pPr>
            <w:r>
              <w:t xml:space="preserve">Ggf. </w:t>
            </w:r>
            <w:r w:rsidR="00E37AB9">
              <w:t xml:space="preserve">in </w:t>
            </w:r>
            <w:r>
              <w:t>einer Fremdsprache</w:t>
            </w:r>
          </w:p>
          <w:p w14:paraId="5EB7808A" w14:textId="538406F0" w:rsidR="003D4291" w:rsidRDefault="003D4291" w:rsidP="00F761CC">
            <w:pPr>
              <w:pStyle w:val="Tabellenspiegelstrich"/>
            </w:pPr>
            <w:r>
              <w:t>Internet</w:t>
            </w:r>
            <w:r w:rsidR="00E37AB9">
              <w:t>r</w:t>
            </w:r>
            <w:r>
              <w:t>echerche</w:t>
            </w:r>
          </w:p>
          <w:p w14:paraId="40CB1C47" w14:textId="77777777" w:rsidR="003D4291" w:rsidRDefault="003D4291" w:rsidP="00F761CC">
            <w:pPr>
              <w:pStyle w:val="Tabellenspiegelstrich"/>
            </w:pPr>
            <w:r>
              <w:t>Textverarbeitungs</w:t>
            </w:r>
            <w:r w:rsidR="001F519C">
              <w:t>-</w:t>
            </w:r>
            <w:r>
              <w:t>software</w:t>
            </w:r>
          </w:p>
          <w:p w14:paraId="245F34D6" w14:textId="6E1F770A" w:rsidR="003A4D4F" w:rsidRPr="00F761CC" w:rsidRDefault="003D4291" w:rsidP="00546648">
            <w:pPr>
              <w:pStyle w:val="Tabellenspiegelstrich"/>
            </w:pPr>
            <w:r w:rsidRPr="003D4291">
              <w:t>Checklisten</w:t>
            </w:r>
          </w:p>
        </w:tc>
      </w:tr>
      <w:tr w:rsidR="004F00E4" w:rsidRPr="006870C3" w14:paraId="25610BC5" w14:textId="77777777" w:rsidTr="00823291">
        <w:trPr>
          <w:trHeight w:val="624"/>
          <w:jc w:val="center"/>
        </w:trPr>
        <w:tc>
          <w:tcPr>
            <w:tcW w:w="2551" w:type="dxa"/>
          </w:tcPr>
          <w:p w14:paraId="4735B2ED" w14:textId="77777777" w:rsidR="004F00E4" w:rsidRPr="00A7340D" w:rsidRDefault="004F00E4" w:rsidP="00546648">
            <w:pPr>
              <w:rPr>
                <w:rFonts w:eastAsia="Times New Roman" w:cs="Arial"/>
                <w:szCs w:val="24"/>
                <w:u w:val="single"/>
                <w:lang w:eastAsia="de-DE"/>
              </w:rPr>
            </w:pPr>
            <w:r>
              <w:rPr>
                <w:rFonts w:cs="Arial"/>
                <w:szCs w:val="24"/>
                <w:u w:val="single"/>
              </w:rPr>
              <w:t>Durch</w:t>
            </w:r>
            <w:r w:rsidRPr="00A7340D">
              <w:rPr>
                <w:rFonts w:cs="Arial"/>
                <w:szCs w:val="24"/>
                <w:u w:val="single"/>
              </w:rPr>
              <w:t>führen</w:t>
            </w:r>
            <w:r>
              <w:rPr>
                <w:rFonts w:cs="Arial"/>
                <w:szCs w:val="24"/>
                <w:u w:val="single"/>
              </w:rPr>
              <w:t>:</w:t>
            </w:r>
          </w:p>
        </w:tc>
        <w:tc>
          <w:tcPr>
            <w:tcW w:w="5274" w:type="dxa"/>
          </w:tcPr>
          <w:p w14:paraId="721DFBF2" w14:textId="77777777" w:rsidR="004F00E4" w:rsidRDefault="007B0D73" w:rsidP="00546648">
            <w:r>
              <w:t>Die Schülerinnen und Schüler berechnen den Gerichtskostenvorschuss. Sie wenden die Grundvoraussetzungen der Prozesskostenhilfe auf den Einzelfall an.</w:t>
            </w:r>
          </w:p>
          <w:p w14:paraId="0357688E" w14:textId="77777777" w:rsidR="007B0D73" w:rsidRPr="00A7340D" w:rsidRDefault="007B0D73" w:rsidP="00546648">
            <w:pPr>
              <w:rPr>
                <w:rFonts w:cs="Arial"/>
                <w:szCs w:val="24"/>
              </w:rPr>
            </w:pPr>
          </w:p>
        </w:tc>
        <w:tc>
          <w:tcPr>
            <w:tcW w:w="4139" w:type="dxa"/>
          </w:tcPr>
          <w:p w14:paraId="4B52C9F4" w14:textId="14BEE5FF" w:rsidR="004F00E4" w:rsidRPr="00F239A4" w:rsidRDefault="00F761CC" w:rsidP="00F239A4">
            <w:pPr>
              <w:rPr>
                <w:rFonts w:cs="Arial"/>
                <w:szCs w:val="24"/>
              </w:rPr>
            </w:pPr>
            <w:r>
              <w:rPr>
                <w:rFonts w:cs="Arial"/>
                <w:szCs w:val="24"/>
              </w:rPr>
              <w:t>Die Schülerinnen und Schüler</w:t>
            </w:r>
          </w:p>
          <w:p w14:paraId="421A8296" w14:textId="1E9F334C" w:rsidR="00F239A4" w:rsidRPr="00AA22F7" w:rsidRDefault="00E37AB9" w:rsidP="00F761CC">
            <w:pPr>
              <w:pStyle w:val="Tabellenspiegelstrich"/>
            </w:pPr>
            <w:r w:rsidRPr="00E37AB9">
              <w:t>i</w:t>
            </w:r>
            <w:r w:rsidR="00F239A4" w:rsidRPr="00E37AB9">
              <w:t>nformieren sich über den Aufbau des GKGs und wenden es an</w:t>
            </w:r>
          </w:p>
          <w:p w14:paraId="0E109261" w14:textId="24566F38" w:rsidR="00F239A4" w:rsidRPr="00A3442D" w:rsidRDefault="00E37AB9" w:rsidP="00F761CC">
            <w:pPr>
              <w:pStyle w:val="Tabellenspiegelstrich"/>
            </w:pPr>
            <w:r w:rsidRPr="00AA22F7">
              <w:t>b</w:t>
            </w:r>
            <w:r w:rsidR="00F239A4" w:rsidRPr="00AA22F7">
              <w:t>erechnen den Gerichtskostenvorschuss</w:t>
            </w:r>
          </w:p>
          <w:p w14:paraId="2CCC5D92" w14:textId="0691B722" w:rsidR="00F239A4" w:rsidRPr="00A3442D" w:rsidRDefault="00E37AB9" w:rsidP="00F761CC">
            <w:pPr>
              <w:pStyle w:val="Tabellenspiegelstrich"/>
            </w:pPr>
            <w:r w:rsidRPr="00A3442D">
              <w:t>ke</w:t>
            </w:r>
            <w:r w:rsidR="00630B7C" w:rsidRPr="00A3442D">
              <w:t>nn</w:t>
            </w:r>
            <w:r w:rsidR="00823291" w:rsidRPr="00A3442D">
              <w:t>en die Grundlagen der PKH</w:t>
            </w:r>
          </w:p>
          <w:p w14:paraId="372E64B5" w14:textId="724AA050" w:rsidR="0044648D" w:rsidRPr="00A3442D" w:rsidRDefault="00E37AB9" w:rsidP="00F761CC">
            <w:pPr>
              <w:pStyle w:val="Tabellenspiegelstrich"/>
            </w:pPr>
            <w:r w:rsidRPr="00A3442D">
              <w:t>e</w:t>
            </w:r>
            <w:r w:rsidR="00E72DAD" w:rsidRPr="00A3442D">
              <w:t xml:space="preserve">ntwickeln ein Bewusstsein für die gesellschaftliche Vielfalt </w:t>
            </w:r>
            <w:r w:rsidRPr="00A3442D">
              <w:t>.</w:t>
            </w:r>
          </w:p>
        </w:tc>
        <w:tc>
          <w:tcPr>
            <w:tcW w:w="2608" w:type="dxa"/>
          </w:tcPr>
          <w:p w14:paraId="09DA5637" w14:textId="77777777" w:rsidR="006A40C3" w:rsidRDefault="006A40C3" w:rsidP="00F761CC">
            <w:pPr>
              <w:pStyle w:val="Tabellenspiegelstrich"/>
            </w:pPr>
            <w:r>
              <w:t>Habersack</w:t>
            </w:r>
          </w:p>
          <w:p w14:paraId="182A2305" w14:textId="77777777" w:rsidR="006A40C3" w:rsidRDefault="006A40C3" w:rsidP="00F761CC">
            <w:pPr>
              <w:pStyle w:val="Tabellenspiegelstrich"/>
            </w:pPr>
            <w:r>
              <w:t>Anwendung GKG</w:t>
            </w:r>
          </w:p>
          <w:p w14:paraId="238E42A5" w14:textId="77777777" w:rsidR="006A40C3" w:rsidRDefault="006A40C3" w:rsidP="00F761CC">
            <w:pPr>
              <w:pStyle w:val="Tabellenspiegelstrich"/>
            </w:pPr>
            <w:r>
              <w:t>Erstellung von Übersichten</w:t>
            </w:r>
          </w:p>
          <w:p w14:paraId="239F86E4" w14:textId="77777777" w:rsidR="006A40C3" w:rsidRDefault="006A40C3" w:rsidP="00F761CC">
            <w:pPr>
              <w:pStyle w:val="Tabellenspiegelstrich"/>
            </w:pPr>
            <w:r>
              <w:t>Anwendung der Fachsprache</w:t>
            </w:r>
          </w:p>
          <w:p w14:paraId="3A068F3A" w14:textId="77777777" w:rsidR="006A40C3" w:rsidRDefault="006A40C3" w:rsidP="00F761CC">
            <w:pPr>
              <w:pStyle w:val="Tabellenspiegelstrich"/>
            </w:pPr>
            <w:r>
              <w:t xml:space="preserve">Ggf. </w:t>
            </w:r>
            <w:r w:rsidR="00E37AB9">
              <w:t xml:space="preserve">in </w:t>
            </w:r>
            <w:r>
              <w:t>einer Fremdsprache</w:t>
            </w:r>
          </w:p>
          <w:p w14:paraId="28B178F7" w14:textId="6A2030A7" w:rsidR="006A40C3" w:rsidRDefault="006A40C3" w:rsidP="00F761CC">
            <w:pPr>
              <w:pStyle w:val="Tabellenspiegelstrich"/>
            </w:pPr>
            <w:r>
              <w:t>Internet</w:t>
            </w:r>
            <w:r w:rsidR="00E37AB9">
              <w:t>r</w:t>
            </w:r>
            <w:r>
              <w:t>echerche</w:t>
            </w:r>
          </w:p>
          <w:p w14:paraId="3B7A6DDA" w14:textId="77777777" w:rsidR="006A40C3" w:rsidRDefault="006A40C3" w:rsidP="00F761CC">
            <w:pPr>
              <w:pStyle w:val="Tabellenspiegelstrich"/>
            </w:pPr>
            <w:r>
              <w:t>Textverarbeitungssoftware</w:t>
            </w:r>
          </w:p>
          <w:p w14:paraId="62D52108" w14:textId="77777777" w:rsidR="004F00E4" w:rsidRPr="006A40C3" w:rsidRDefault="006A40C3" w:rsidP="00F761CC">
            <w:pPr>
              <w:pStyle w:val="Tabellenspiegelstrich"/>
            </w:pPr>
            <w:r w:rsidRPr="006A40C3">
              <w:t>Checklisten</w:t>
            </w:r>
          </w:p>
        </w:tc>
      </w:tr>
      <w:tr w:rsidR="00823291" w:rsidRPr="006870C3" w14:paraId="4FB7C471" w14:textId="77777777" w:rsidTr="00F761CC">
        <w:trPr>
          <w:jc w:val="center"/>
        </w:trPr>
        <w:tc>
          <w:tcPr>
            <w:tcW w:w="2551" w:type="dxa"/>
          </w:tcPr>
          <w:p w14:paraId="170D5292" w14:textId="77777777" w:rsidR="00823291" w:rsidRPr="00A7340D" w:rsidRDefault="00823291" w:rsidP="00823291">
            <w:pPr>
              <w:rPr>
                <w:rFonts w:eastAsia="Times New Roman" w:cs="Arial"/>
                <w:szCs w:val="24"/>
                <w:u w:val="single"/>
                <w:lang w:eastAsia="de-DE"/>
              </w:rPr>
            </w:pPr>
            <w:r w:rsidRPr="00A7340D">
              <w:rPr>
                <w:rFonts w:cs="Arial"/>
                <w:szCs w:val="24"/>
                <w:u w:val="single"/>
              </w:rPr>
              <w:t>Kontrollieren</w:t>
            </w:r>
            <w:r>
              <w:rPr>
                <w:rFonts w:cs="Arial"/>
                <w:szCs w:val="24"/>
                <w:u w:val="single"/>
              </w:rPr>
              <w:t>:</w:t>
            </w:r>
          </w:p>
        </w:tc>
        <w:tc>
          <w:tcPr>
            <w:tcW w:w="5274" w:type="dxa"/>
          </w:tcPr>
          <w:p w14:paraId="752561E2" w14:textId="77777777" w:rsidR="00823291" w:rsidRPr="00A7340D" w:rsidRDefault="00823291" w:rsidP="00823291">
            <w:pPr>
              <w:rPr>
                <w:rFonts w:cs="Arial"/>
                <w:szCs w:val="24"/>
              </w:rPr>
            </w:pPr>
            <w:r>
              <w:t>Die Schülerinnen und Schüler berechnen die für den Ablauf des Zivilverfahrens notwendigen Fristen und veranlassen die Ladungen und Zustellungen (Fristen- und Zustellungsarten, Wiedereinsetzung in den vorigen Stand)</w:t>
            </w:r>
            <w:r w:rsidR="00E37AB9">
              <w:t>.</w:t>
            </w:r>
          </w:p>
        </w:tc>
        <w:tc>
          <w:tcPr>
            <w:tcW w:w="4139" w:type="dxa"/>
          </w:tcPr>
          <w:p w14:paraId="4DD0BD19" w14:textId="5376796D" w:rsidR="00F92549" w:rsidRDefault="00F761CC" w:rsidP="00A3442D">
            <w:pPr>
              <w:rPr>
                <w:rFonts w:cs="Arial"/>
                <w:szCs w:val="24"/>
              </w:rPr>
            </w:pPr>
            <w:r>
              <w:rPr>
                <w:rFonts w:cs="Arial"/>
                <w:szCs w:val="24"/>
              </w:rPr>
              <w:t>Die Schülerinnen und Schüler</w:t>
            </w:r>
          </w:p>
          <w:p w14:paraId="61CFD3AB" w14:textId="39F5A942" w:rsidR="00823291" w:rsidRPr="00F92549" w:rsidRDefault="00F92549" w:rsidP="00F761CC">
            <w:pPr>
              <w:pStyle w:val="Tabellenspiegelstrich"/>
            </w:pPr>
            <w:r>
              <w:t>k</w:t>
            </w:r>
            <w:r w:rsidR="00823291" w:rsidRPr="00F92549">
              <w:t>ennen die Fristen: Notfristen,</w:t>
            </w:r>
            <w:r>
              <w:t xml:space="preserve"> </w:t>
            </w:r>
            <w:r w:rsidR="00823291" w:rsidRPr="00F92549">
              <w:t>Mindestfrist</w:t>
            </w:r>
          </w:p>
          <w:p w14:paraId="7CF82D2C" w14:textId="04A4D302" w:rsidR="00823291" w:rsidRDefault="00E37AB9" w:rsidP="00F761CC">
            <w:pPr>
              <w:pStyle w:val="Tabellenspiegelstrich"/>
            </w:pPr>
            <w:r>
              <w:t>w</w:t>
            </w:r>
            <w:r w:rsidR="00823291">
              <w:t>enden die Berechnung nach den BGB Vorschriften an</w:t>
            </w:r>
          </w:p>
          <w:p w14:paraId="57E9D9F5" w14:textId="78DF9B93" w:rsidR="00823291" w:rsidRDefault="00E37AB9" w:rsidP="00F761CC">
            <w:pPr>
              <w:pStyle w:val="Tabellenspiegelstrich"/>
            </w:pPr>
            <w:r>
              <w:t>k</w:t>
            </w:r>
            <w:r w:rsidR="00823291">
              <w:t>önnen die Ladungs- von der Einlassungsfrist unterscheiden</w:t>
            </w:r>
          </w:p>
          <w:p w14:paraId="415B7847" w14:textId="199E193E" w:rsidR="00823291" w:rsidRDefault="00E37AB9" w:rsidP="00F761CC">
            <w:pPr>
              <w:pStyle w:val="Tabellenspiegelstrich"/>
            </w:pPr>
            <w:r>
              <w:t>k</w:t>
            </w:r>
            <w:r w:rsidR="00823291">
              <w:t>ennen die Zustellungsarten: von Amts wegen, Parteibetrieb</w:t>
            </w:r>
          </w:p>
          <w:p w14:paraId="6D220153" w14:textId="7525FC9A" w:rsidR="00823291" w:rsidRDefault="00E37AB9" w:rsidP="00F761CC">
            <w:pPr>
              <w:pStyle w:val="Tabellenspiegelstrich"/>
            </w:pPr>
            <w:r>
              <w:t>k</w:t>
            </w:r>
            <w:r w:rsidR="00823291">
              <w:t>önnen die Ersatzzustellungen vo</w:t>
            </w:r>
            <w:r w:rsidR="00F61A32">
              <w:t>n</w:t>
            </w:r>
            <w:r w:rsidR="00823291">
              <w:t>einander unterscheiden</w:t>
            </w:r>
          </w:p>
          <w:p w14:paraId="4C99BC92" w14:textId="77B21E47" w:rsidR="00823291" w:rsidRDefault="00E37AB9" w:rsidP="00F761CC">
            <w:pPr>
              <w:pStyle w:val="Tabellenspiegelstrich"/>
            </w:pPr>
            <w:r>
              <w:t>v</w:t>
            </w:r>
            <w:r w:rsidR="00823291">
              <w:t>erstehen die Heilung von Zustellungsmängeln</w:t>
            </w:r>
          </w:p>
          <w:p w14:paraId="40E40AC6" w14:textId="1E8F19FE" w:rsidR="00823291" w:rsidRDefault="00E37AB9" w:rsidP="00F761CC">
            <w:pPr>
              <w:pStyle w:val="Tabellenspiegelstrich"/>
            </w:pPr>
            <w:r>
              <w:t>k</w:t>
            </w:r>
            <w:r w:rsidR="00823291">
              <w:t>ennen die Wiedereinsetzung in den vorigen Stand</w:t>
            </w:r>
          </w:p>
          <w:p w14:paraId="077E30B0" w14:textId="604C8927" w:rsidR="00823291" w:rsidRDefault="00E37AB9" w:rsidP="00F761CC">
            <w:pPr>
              <w:pStyle w:val="Tabellenspiegelstrich"/>
            </w:pPr>
            <w:r>
              <w:t>b</w:t>
            </w:r>
            <w:r w:rsidR="00823291">
              <w:t>enennen die Voraussetzungen</w:t>
            </w:r>
          </w:p>
          <w:p w14:paraId="0F1E92DA" w14:textId="69220A60" w:rsidR="00823291" w:rsidRDefault="00E37AB9" w:rsidP="00F761CC">
            <w:pPr>
              <w:pStyle w:val="Tabellenspiegelstrich"/>
            </w:pPr>
            <w:r>
              <w:t>w</w:t>
            </w:r>
            <w:r w:rsidR="00823291">
              <w:t>issen die Rechtsfolgen</w:t>
            </w:r>
          </w:p>
          <w:p w14:paraId="22F4708A" w14:textId="1F7699D0" w:rsidR="00823291" w:rsidRPr="003A4D4F" w:rsidRDefault="00E37AB9" w:rsidP="00F761CC">
            <w:pPr>
              <w:pStyle w:val="Tabellenspiegelstrich"/>
            </w:pPr>
            <w:r>
              <w:t>k</w:t>
            </w:r>
            <w:r w:rsidR="00823291">
              <w:t>ennen die Frist</w:t>
            </w:r>
            <w:r>
              <w:t>.</w:t>
            </w:r>
          </w:p>
        </w:tc>
        <w:tc>
          <w:tcPr>
            <w:tcW w:w="2608" w:type="dxa"/>
          </w:tcPr>
          <w:p w14:paraId="168E3294" w14:textId="77777777" w:rsidR="00823291" w:rsidRDefault="00823291" w:rsidP="00F761CC">
            <w:pPr>
              <w:pStyle w:val="Tabellenspiegelstrich"/>
            </w:pPr>
            <w:r>
              <w:t>Habersack</w:t>
            </w:r>
          </w:p>
          <w:p w14:paraId="68372670" w14:textId="77777777" w:rsidR="00823291" w:rsidRDefault="00823291" w:rsidP="00F761CC">
            <w:pPr>
              <w:pStyle w:val="Tabellenspiegelstrich"/>
            </w:pPr>
            <w:r>
              <w:t>Anwendung ZPO</w:t>
            </w:r>
          </w:p>
          <w:p w14:paraId="26CA8C40" w14:textId="77777777" w:rsidR="00823291" w:rsidRDefault="00823291" w:rsidP="00F761CC">
            <w:pPr>
              <w:pStyle w:val="Tabellenspiegelstrich"/>
            </w:pPr>
            <w:r>
              <w:t>Erstellung von Übersichten</w:t>
            </w:r>
          </w:p>
          <w:p w14:paraId="43734CDD" w14:textId="77777777" w:rsidR="00823291" w:rsidRDefault="00823291" w:rsidP="00F761CC">
            <w:pPr>
              <w:pStyle w:val="Tabellenspiegelstrich"/>
            </w:pPr>
            <w:r>
              <w:t>Anwendung der Fachsprache</w:t>
            </w:r>
          </w:p>
          <w:p w14:paraId="39589D6B" w14:textId="249559C6" w:rsidR="00823291" w:rsidRDefault="00823291" w:rsidP="00F761CC">
            <w:pPr>
              <w:pStyle w:val="Tabellenspiegelstrich"/>
            </w:pPr>
            <w:r>
              <w:t xml:space="preserve">Ggf. </w:t>
            </w:r>
            <w:r w:rsidR="00AA22F7">
              <w:t xml:space="preserve">in </w:t>
            </w:r>
            <w:r>
              <w:t>einer Fremdsprache</w:t>
            </w:r>
          </w:p>
          <w:p w14:paraId="179BD143" w14:textId="77777777" w:rsidR="00823291" w:rsidRPr="00823291" w:rsidRDefault="00823291" w:rsidP="00F761CC">
            <w:pPr>
              <w:pStyle w:val="Tabellenspiegelstrich"/>
            </w:pPr>
            <w:r>
              <w:t>Digitaler Kalender</w:t>
            </w:r>
          </w:p>
        </w:tc>
      </w:tr>
      <w:tr w:rsidR="00823291" w:rsidRPr="006870C3" w14:paraId="0FC2FB06" w14:textId="77777777" w:rsidTr="00823291">
        <w:trPr>
          <w:trHeight w:val="624"/>
          <w:jc w:val="center"/>
        </w:trPr>
        <w:tc>
          <w:tcPr>
            <w:tcW w:w="2551" w:type="dxa"/>
          </w:tcPr>
          <w:p w14:paraId="57F7F95E" w14:textId="77777777" w:rsidR="00823291" w:rsidRPr="00A7340D" w:rsidRDefault="00823291" w:rsidP="00823291">
            <w:pPr>
              <w:rPr>
                <w:rFonts w:eastAsia="Times New Roman" w:cs="Arial"/>
                <w:szCs w:val="24"/>
                <w:u w:val="single"/>
                <w:lang w:eastAsia="de-DE"/>
              </w:rPr>
            </w:pPr>
            <w:r>
              <w:rPr>
                <w:rFonts w:cs="Arial"/>
                <w:szCs w:val="24"/>
                <w:u w:val="single"/>
              </w:rPr>
              <w:lastRenderedPageBreak/>
              <w:t>Bewerten/Reflektieren:</w:t>
            </w:r>
          </w:p>
        </w:tc>
        <w:tc>
          <w:tcPr>
            <w:tcW w:w="5274" w:type="dxa"/>
          </w:tcPr>
          <w:p w14:paraId="5F266E94" w14:textId="29B98DB1" w:rsidR="00823291" w:rsidRPr="00A7340D" w:rsidRDefault="00823291" w:rsidP="00F761CC">
            <w:pPr>
              <w:rPr>
                <w:rFonts w:cs="Arial"/>
                <w:szCs w:val="24"/>
              </w:rPr>
            </w:pPr>
            <w:r>
              <w:t>Die Schülerinnen und Schüler reflektieren den Ablauf ihrer Arbeitsprozesse bei ihrer Mitwirkung in Zivilverfahren im Hinblick auf Effektivität und Effizienz sowie ihre Arbeitsergebnisse unter Berücksichtigung gesellschaftlicher Vielfalt. Sie bewerten ihre Präsentationen mit</w:t>
            </w:r>
            <w:r w:rsidR="00F761CC">
              <w:t>h</w:t>
            </w:r>
            <w:r>
              <w:t>ilfe des erstellten Kriterienkatalogs und nehmen konstruktives Feedback an.</w:t>
            </w:r>
          </w:p>
        </w:tc>
        <w:tc>
          <w:tcPr>
            <w:tcW w:w="4139" w:type="dxa"/>
          </w:tcPr>
          <w:p w14:paraId="606CFF07" w14:textId="5DD07EE6" w:rsidR="00823291" w:rsidRDefault="00823291" w:rsidP="00823291">
            <w:pPr>
              <w:ind w:left="191" w:hanging="142"/>
              <w:rPr>
                <w:rFonts w:cs="Arial"/>
                <w:szCs w:val="24"/>
              </w:rPr>
            </w:pPr>
            <w:r w:rsidRPr="00A7340D">
              <w:rPr>
                <w:rFonts w:cs="Arial"/>
                <w:szCs w:val="24"/>
              </w:rPr>
              <w:t>Die Schülerinnen und Schüler</w:t>
            </w:r>
          </w:p>
          <w:p w14:paraId="50809286" w14:textId="2566F96E" w:rsidR="00F61A32" w:rsidRPr="00F92549" w:rsidRDefault="00033179" w:rsidP="00F761CC">
            <w:pPr>
              <w:pStyle w:val="Tabellenspiegelstrich"/>
            </w:pPr>
            <w:r w:rsidRPr="00F92549">
              <w:t>beurteilen</w:t>
            </w:r>
            <w:r w:rsidR="00F61A32" w:rsidRPr="00F92549">
              <w:t xml:space="preserve"> die Effizienz ihres beruflichen Handelns im Unterricht</w:t>
            </w:r>
          </w:p>
          <w:p w14:paraId="1589DD7A" w14:textId="79038A79" w:rsidR="00F92549" w:rsidRDefault="00033179" w:rsidP="00F761CC">
            <w:pPr>
              <w:pStyle w:val="Tabellenspiegelstrich"/>
            </w:pPr>
            <w:r w:rsidRPr="00F92549">
              <w:t>reflektieren ihren Arbeitsprozess anhand des vorgegebenen Kompetenzrasters</w:t>
            </w:r>
          </w:p>
          <w:p w14:paraId="67DA3B7A" w14:textId="74C06FB1" w:rsidR="00E72DAD" w:rsidRPr="00F92549" w:rsidRDefault="00AA22F7" w:rsidP="00F761CC">
            <w:pPr>
              <w:pStyle w:val="Tabellenspiegelstrich"/>
            </w:pPr>
            <w:r w:rsidRPr="00F92549">
              <w:t>b</w:t>
            </w:r>
            <w:r w:rsidR="00E72DAD" w:rsidRPr="00F92549">
              <w:t>ewerten ihr Handeln im Hinblick auf die gesellschaftliche Vielfalt und entwickeln ein Bewusstsein für die Bedeutung der Chancengleichheit</w:t>
            </w:r>
            <w:r w:rsidRPr="00F92549">
              <w:t>.</w:t>
            </w:r>
          </w:p>
        </w:tc>
        <w:tc>
          <w:tcPr>
            <w:tcW w:w="2608" w:type="dxa"/>
          </w:tcPr>
          <w:p w14:paraId="3A28B354" w14:textId="77777777" w:rsidR="00823291" w:rsidRPr="00823291" w:rsidRDefault="00823291" w:rsidP="00F761CC">
            <w:pPr>
              <w:pStyle w:val="Tabellenspiegelstrich"/>
            </w:pPr>
            <w:r>
              <w:t>Habersack</w:t>
            </w:r>
          </w:p>
          <w:p w14:paraId="46746898" w14:textId="77777777" w:rsidR="00823291" w:rsidRDefault="00823291" w:rsidP="00F761CC">
            <w:pPr>
              <w:pStyle w:val="Tabellenspiegelstrich"/>
            </w:pPr>
            <w:r>
              <w:t>Erstellung von Übersichten</w:t>
            </w:r>
          </w:p>
          <w:p w14:paraId="7ADD6934" w14:textId="77777777" w:rsidR="00823291" w:rsidRDefault="00823291" w:rsidP="00F761CC">
            <w:pPr>
              <w:pStyle w:val="Tabellenspiegelstrich"/>
            </w:pPr>
            <w:r>
              <w:t>Anwendung der Fachsprache</w:t>
            </w:r>
          </w:p>
          <w:p w14:paraId="1B19F5DD" w14:textId="3895FD8F" w:rsidR="00823291" w:rsidRDefault="00823291" w:rsidP="00F761CC">
            <w:pPr>
              <w:pStyle w:val="Tabellenspiegelstrich"/>
            </w:pPr>
            <w:r>
              <w:t xml:space="preserve">Ggf. </w:t>
            </w:r>
            <w:r w:rsidR="00AA22F7">
              <w:t xml:space="preserve">in </w:t>
            </w:r>
            <w:r>
              <w:t>einer Fremdsprache</w:t>
            </w:r>
          </w:p>
          <w:p w14:paraId="4DF9F06F" w14:textId="5EC2E7C4" w:rsidR="00823291" w:rsidRDefault="00823291" w:rsidP="00F761CC">
            <w:pPr>
              <w:pStyle w:val="Tabellenspiegelstrich"/>
            </w:pPr>
            <w:r>
              <w:t>Internet</w:t>
            </w:r>
            <w:r w:rsidR="00AA22F7">
              <w:t>r</w:t>
            </w:r>
            <w:r>
              <w:t>echerche</w:t>
            </w:r>
          </w:p>
          <w:p w14:paraId="0889A14D" w14:textId="77777777" w:rsidR="00033179" w:rsidRDefault="00033179" w:rsidP="00F761CC">
            <w:pPr>
              <w:pStyle w:val="Tabellenspiegelstrich"/>
            </w:pPr>
            <w:r>
              <w:t>Kompetenzraster</w:t>
            </w:r>
          </w:p>
          <w:p w14:paraId="7D7BC1B3" w14:textId="161DC9FF" w:rsidR="00823291" w:rsidRPr="00AA22F7" w:rsidRDefault="00823291" w:rsidP="00F761CC">
            <w:pPr>
              <w:pStyle w:val="Tabellenspiegelstrich"/>
            </w:pPr>
            <w:r>
              <w:t>Anwendung von Feedbackregeln</w:t>
            </w:r>
          </w:p>
        </w:tc>
      </w:tr>
    </w:tbl>
    <w:p w14:paraId="4624C68F" w14:textId="77777777" w:rsidR="00E101B0" w:rsidRPr="005C4A85" w:rsidRDefault="00E101B0" w:rsidP="00546648"/>
    <w:sectPr w:rsidR="00E101B0" w:rsidRPr="005C4A85" w:rsidSect="00082C61">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63F5" w14:textId="77777777" w:rsidR="00085EFD" w:rsidRDefault="00085EFD" w:rsidP="006870C3">
      <w:r>
        <w:separator/>
      </w:r>
    </w:p>
  </w:endnote>
  <w:endnote w:type="continuationSeparator" w:id="0">
    <w:p w14:paraId="7FBAB132" w14:textId="77777777" w:rsidR="00085EFD" w:rsidRDefault="00085EFD" w:rsidP="006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98BD" w14:textId="77777777" w:rsidR="00B24CE7" w:rsidRDefault="00B24C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82F9" w14:textId="77DD1C2D" w:rsidR="00725431" w:rsidRPr="004A0101" w:rsidRDefault="004A0101" w:rsidP="004A0101">
    <w:pPr>
      <w:tabs>
        <w:tab w:val="center" w:pos="7286"/>
        <w:tab w:val="right" w:pos="14601"/>
      </w:tabs>
      <w:rPr>
        <w:rFonts w:eastAsia="Calibri" w:cs="Arial"/>
        <w:sz w:val="20"/>
        <w:szCs w:val="20"/>
      </w:rPr>
    </w:pPr>
    <w:r w:rsidRPr="004A0101">
      <w:rPr>
        <w:rFonts w:eastAsia="Calibri" w:cs="Times New Roman"/>
        <w:sz w:val="20"/>
      </w:rPr>
      <w:t>KMK-Dokumentationsraster</w:t>
    </w:r>
    <w:r w:rsidRPr="004A0101">
      <w:rPr>
        <w:rFonts w:eastAsia="Calibri" w:cs="Times New Roman"/>
        <w:sz w:val="20"/>
      </w:rPr>
      <w:tab/>
      <w:t xml:space="preserve">Seite </w:t>
    </w:r>
    <w:r w:rsidRPr="004A0101">
      <w:rPr>
        <w:rFonts w:eastAsia="Calibri" w:cs="Times New Roman"/>
        <w:bCs/>
        <w:sz w:val="20"/>
      </w:rPr>
      <w:fldChar w:fldCharType="begin"/>
    </w:r>
    <w:r w:rsidRPr="004A0101">
      <w:rPr>
        <w:rFonts w:eastAsia="Calibri" w:cs="Times New Roman"/>
        <w:bCs/>
        <w:sz w:val="20"/>
      </w:rPr>
      <w:instrText>PAGE  \* Arabic  \* MERGEFORMAT</w:instrText>
    </w:r>
    <w:r w:rsidRPr="004A0101">
      <w:rPr>
        <w:rFonts w:eastAsia="Calibri" w:cs="Times New Roman"/>
        <w:bCs/>
        <w:sz w:val="20"/>
      </w:rPr>
      <w:fldChar w:fldCharType="separate"/>
    </w:r>
    <w:r w:rsidR="00B24CE7">
      <w:rPr>
        <w:rFonts w:eastAsia="Calibri" w:cs="Times New Roman"/>
        <w:bCs/>
        <w:noProof/>
        <w:sz w:val="20"/>
      </w:rPr>
      <w:t>1</w:t>
    </w:r>
    <w:r w:rsidRPr="004A0101">
      <w:rPr>
        <w:rFonts w:eastAsia="Calibri" w:cs="Times New Roman"/>
        <w:bCs/>
        <w:sz w:val="20"/>
      </w:rPr>
      <w:fldChar w:fldCharType="end"/>
    </w:r>
    <w:r w:rsidRPr="004A0101">
      <w:rPr>
        <w:rFonts w:eastAsia="Calibri" w:cs="Times New Roman"/>
        <w:sz w:val="20"/>
      </w:rPr>
      <w:t xml:space="preserve"> von </w:t>
    </w:r>
    <w:r w:rsidRPr="004A0101">
      <w:rPr>
        <w:rFonts w:eastAsia="Calibri" w:cs="Times New Roman"/>
        <w:bCs/>
        <w:sz w:val="20"/>
      </w:rPr>
      <w:fldChar w:fldCharType="begin"/>
    </w:r>
    <w:r w:rsidRPr="004A0101">
      <w:rPr>
        <w:rFonts w:eastAsia="Calibri" w:cs="Times New Roman"/>
        <w:bCs/>
        <w:sz w:val="20"/>
      </w:rPr>
      <w:instrText>NUMPAGES  \* Arabic  \* MERGEFORMAT</w:instrText>
    </w:r>
    <w:r w:rsidRPr="004A0101">
      <w:rPr>
        <w:rFonts w:eastAsia="Calibri" w:cs="Times New Roman"/>
        <w:bCs/>
        <w:sz w:val="20"/>
      </w:rPr>
      <w:fldChar w:fldCharType="separate"/>
    </w:r>
    <w:r w:rsidR="00B24CE7">
      <w:rPr>
        <w:rFonts w:eastAsia="Calibri" w:cs="Times New Roman"/>
        <w:bCs/>
        <w:noProof/>
        <w:sz w:val="20"/>
      </w:rPr>
      <w:t>6</w:t>
    </w:r>
    <w:r w:rsidRPr="004A0101">
      <w:rPr>
        <w:rFonts w:eastAsia="Calibri" w:cs="Times New Roman"/>
        <w:bCs/>
        <w:sz w:val="20"/>
      </w:rPr>
      <w:fldChar w:fldCharType="end"/>
    </w:r>
    <w:r w:rsidRPr="004A0101">
      <w:rPr>
        <w:rFonts w:eastAsia="Calibri" w:cs="Times New Roman"/>
        <w:bCs/>
        <w:sz w:val="20"/>
      </w:rPr>
      <w:tab/>
    </w:r>
    <w:r w:rsidRPr="004A0101">
      <w:rPr>
        <w:rFonts w:eastAsia="Calibri" w:cs="Times New Roman"/>
        <w:noProof/>
        <w:sz w:val="20"/>
        <w:lang w:eastAsia="de-DE"/>
      </w:rPr>
      <w:drawing>
        <wp:inline distT="0" distB="0" distL="0" distR="0" wp14:anchorId="6767E892" wp14:editId="18521AC8">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4A0101">
      <w:rPr>
        <w:rFonts w:eastAsia="Calibri" w:cs="Arial"/>
        <w:sz w:val="20"/>
        <w:szCs w:val="20"/>
      </w:rPr>
      <w:fldChar w:fldCharType="begin"/>
    </w:r>
    <w:r w:rsidRPr="004A0101">
      <w:rPr>
        <w:rFonts w:eastAsia="Calibri" w:cs="Arial"/>
        <w:sz w:val="20"/>
        <w:szCs w:val="20"/>
      </w:rPr>
      <w:fldChar w:fldCharType="begin"/>
    </w:r>
    <w:r w:rsidRPr="004A0101">
      <w:rPr>
        <w:rFonts w:eastAsia="Calibri" w:cs="Arial"/>
        <w:sz w:val="20"/>
        <w:szCs w:val="20"/>
      </w:rPr>
      <w:instrText xml:space="preserve"> page </w:instrText>
    </w:r>
    <w:r w:rsidRPr="004A0101">
      <w:rPr>
        <w:rFonts w:eastAsia="Calibri" w:cs="Arial"/>
        <w:sz w:val="20"/>
        <w:szCs w:val="20"/>
      </w:rPr>
      <w:fldChar w:fldCharType="separate"/>
    </w:r>
    <w:r w:rsidR="00B24CE7">
      <w:rPr>
        <w:rFonts w:eastAsia="Calibri" w:cs="Arial"/>
        <w:noProof/>
        <w:sz w:val="20"/>
        <w:szCs w:val="20"/>
      </w:rPr>
      <w:instrText>1</w:instrText>
    </w:r>
    <w:r w:rsidRPr="004A0101">
      <w:rPr>
        <w:rFonts w:eastAsia="Calibri" w:cs="Arial"/>
        <w:sz w:val="20"/>
        <w:szCs w:val="20"/>
      </w:rPr>
      <w:fldChar w:fldCharType="end"/>
    </w:r>
    <w:r w:rsidRPr="004A0101">
      <w:rPr>
        <w:rFonts w:eastAsia="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D32F" w14:textId="77777777" w:rsidR="00B24CE7" w:rsidRDefault="00B24C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981AE" w14:textId="77777777" w:rsidR="00085EFD" w:rsidRDefault="00085EFD" w:rsidP="006870C3">
      <w:r>
        <w:separator/>
      </w:r>
    </w:p>
  </w:footnote>
  <w:footnote w:type="continuationSeparator" w:id="0">
    <w:p w14:paraId="50B8C1DE" w14:textId="77777777" w:rsidR="00085EFD" w:rsidRDefault="00085EFD" w:rsidP="006870C3">
      <w:r>
        <w:continuationSeparator/>
      </w:r>
    </w:p>
  </w:footnote>
  <w:footnote w:id="1">
    <w:p w14:paraId="20DA3A28" w14:textId="77777777" w:rsidR="004F00E4" w:rsidRPr="00A7340D" w:rsidRDefault="004F00E4" w:rsidP="00082C61">
      <w:pPr>
        <w:pStyle w:val="Funotentext"/>
        <w:rPr>
          <w:rFonts w:cs="Arial"/>
        </w:rPr>
      </w:pPr>
      <w:r w:rsidRPr="00A7340D">
        <w:rPr>
          <w:rFonts w:cs="Arial"/>
          <w:vertAlign w:val="superscript"/>
        </w:rPr>
        <w:footnoteRef/>
      </w:r>
      <w:r w:rsidR="00082C61">
        <w:rPr>
          <w:rFonts w:cs="Arial"/>
        </w:rPr>
        <w:tab/>
      </w:r>
      <w:r w:rsidRPr="00A7340D">
        <w:rPr>
          <w:rFonts w:cs="Arial"/>
        </w:rPr>
        <w:t>Identifizieren der beruflichen Handlungen unter Berücksichtigung aller Kompetenzdimensionen. Beschreibung mit prozessbezogenen Indikatoren (analy</w:t>
      </w:r>
      <w:r>
        <w:rPr>
          <w:rFonts w:cs="Arial"/>
        </w:rPr>
        <w:t>sieren, beschreiben, erörtern etc.</w:t>
      </w:r>
      <w:r w:rsidRPr="00A7340D">
        <w:rPr>
          <w:rFonts w:cs="Arial"/>
        </w:rPr>
        <w:t>)</w:t>
      </w:r>
    </w:p>
  </w:footnote>
  <w:footnote w:id="2">
    <w:p w14:paraId="6EF5DFA7" w14:textId="77777777" w:rsidR="004F00E4" w:rsidRPr="00082C61" w:rsidRDefault="004F00E4" w:rsidP="00082C61">
      <w:pPr>
        <w:pStyle w:val="Funotentext"/>
      </w:pPr>
      <w:r w:rsidRPr="00A7340D">
        <w:rPr>
          <w:rStyle w:val="Funotenzeichen"/>
          <w:rFonts w:cs="Arial"/>
        </w:rPr>
        <w:footnoteRef/>
      </w:r>
      <w:r w:rsidR="00082C61">
        <w:rPr>
          <w:rFonts w:cs="Arial"/>
        </w:rPr>
        <w:tab/>
      </w:r>
      <w:r w:rsidRPr="00082C61">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BA68" w14:textId="77777777" w:rsidR="00B24CE7" w:rsidRDefault="00B24C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AE24" w14:textId="4739D794" w:rsidR="00725431" w:rsidRDefault="008A7800" w:rsidP="00B270D8">
    <w:pPr>
      <w:pStyle w:val="Kopfzeile"/>
      <w:spacing w:after="120"/>
      <w:rPr>
        <w:rFonts w:cs="Arial"/>
        <w:b/>
        <w:szCs w:val="24"/>
      </w:rPr>
    </w:pPr>
    <w:r>
      <w:rPr>
        <w:rFonts w:cs="Arial"/>
        <w:b/>
        <w:szCs w:val="24"/>
      </w:rPr>
      <w:t>Justizfachangestellte und Justizfachangestellter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FAE9" w14:textId="77777777" w:rsidR="00B24CE7" w:rsidRDefault="00B24C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A0E59"/>
    <w:multiLevelType w:val="hybridMultilevel"/>
    <w:tmpl w:val="1A1281F0"/>
    <w:lvl w:ilvl="0" w:tplc="322AED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F84194"/>
    <w:multiLevelType w:val="hybridMultilevel"/>
    <w:tmpl w:val="F74806F4"/>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12F91C46"/>
    <w:multiLevelType w:val="hybridMultilevel"/>
    <w:tmpl w:val="165AC986"/>
    <w:lvl w:ilvl="0" w:tplc="B1EA0D54">
      <w:numFmt w:val="bullet"/>
      <w:lvlText w:val="-"/>
      <w:lvlJc w:val="left"/>
      <w:pPr>
        <w:ind w:left="769" w:hanging="360"/>
      </w:pPr>
      <w:rPr>
        <w:rFonts w:ascii="Arial" w:eastAsiaTheme="minorHAnsi" w:hAnsi="Arial" w:cs="Aria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4"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CA6FD7"/>
    <w:multiLevelType w:val="hybridMultilevel"/>
    <w:tmpl w:val="6C486232"/>
    <w:lvl w:ilvl="0" w:tplc="B1EA0D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D70B7B"/>
    <w:multiLevelType w:val="hybridMultilevel"/>
    <w:tmpl w:val="2A7636C0"/>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48CC0506"/>
    <w:multiLevelType w:val="hybridMultilevel"/>
    <w:tmpl w:val="AB9CF58C"/>
    <w:lvl w:ilvl="0" w:tplc="B1EA0D54">
      <w:numFmt w:val="bullet"/>
      <w:lvlText w:val="-"/>
      <w:lvlJc w:val="left"/>
      <w:pPr>
        <w:ind w:left="769" w:hanging="360"/>
      </w:pPr>
      <w:rPr>
        <w:rFonts w:ascii="Arial" w:eastAsiaTheme="minorHAnsi" w:hAnsi="Arial" w:cs="Aria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8"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CC12DC"/>
    <w:multiLevelType w:val="hybridMultilevel"/>
    <w:tmpl w:val="E8D03BD8"/>
    <w:lvl w:ilvl="0" w:tplc="B72CA5CA">
      <w:numFmt w:val="bullet"/>
      <w:lvlText w:val="-"/>
      <w:lvlJc w:val="left"/>
      <w:pPr>
        <w:ind w:left="409" w:hanging="360"/>
      </w:pPr>
      <w:rPr>
        <w:rFonts w:ascii="Arial" w:eastAsiaTheme="minorHAnsi" w:hAnsi="Arial" w:cs="Arial" w:hint="default"/>
      </w:rPr>
    </w:lvl>
    <w:lvl w:ilvl="1" w:tplc="04070003" w:tentative="1">
      <w:start w:val="1"/>
      <w:numFmt w:val="bullet"/>
      <w:lvlText w:val="o"/>
      <w:lvlJc w:val="left"/>
      <w:pPr>
        <w:ind w:left="1129" w:hanging="360"/>
      </w:pPr>
      <w:rPr>
        <w:rFonts w:ascii="Courier New" w:hAnsi="Courier New" w:cs="Courier New" w:hint="default"/>
      </w:rPr>
    </w:lvl>
    <w:lvl w:ilvl="2" w:tplc="04070005" w:tentative="1">
      <w:start w:val="1"/>
      <w:numFmt w:val="bullet"/>
      <w:lvlText w:val=""/>
      <w:lvlJc w:val="left"/>
      <w:pPr>
        <w:ind w:left="1849" w:hanging="360"/>
      </w:pPr>
      <w:rPr>
        <w:rFonts w:ascii="Wingdings" w:hAnsi="Wingdings" w:hint="default"/>
      </w:rPr>
    </w:lvl>
    <w:lvl w:ilvl="3" w:tplc="04070001" w:tentative="1">
      <w:start w:val="1"/>
      <w:numFmt w:val="bullet"/>
      <w:lvlText w:val=""/>
      <w:lvlJc w:val="left"/>
      <w:pPr>
        <w:ind w:left="2569" w:hanging="360"/>
      </w:pPr>
      <w:rPr>
        <w:rFonts w:ascii="Symbol" w:hAnsi="Symbol" w:hint="default"/>
      </w:rPr>
    </w:lvl>
    <w:lvl w:ilvl="4" w:tplc="04070003" w:tentative="1">
      <w:start w:val="1"/>
      <w:numFmt w:val="bullet"/>
      <w:lvlText w:val="o"/>
      <w:lvlJc w:val="left"/>
      <w:pPr>
        <w:ind w:left="3289" w:hanging="360"/>
      </w:pPr>
      <w:rPr>
        <w:rFonts w:ascii="Courier New" w:hAnsi="Courier New" w:cs="Courier New" w:hint="default"/>
      </w:rPr>
    </w:lvl>
    <w:lvl w:ilvl="5" w:tplc="04070005" w:tentative="1">
      <w:start w:val="1"/>
      <w:numFmt w:val="bullet"/>
      <w:lvlText w:val=""/>
      <w:lvlJc w:val="left"/>
      <w:pPr>
        <w:ind w:left="4009" w:hanging="360"/>
      </w:pPr>
      <w:rPr>
        <w:rFonts w:ascii="Wingdings" w:hAnsi="Wingdings" w:hint="default"/>
      </w:rPr>
    </w:lvl>
    <w:lvl w:ilvl="6" w:tplc="04070001" w:tentative="1">
      <w:start w:val="1"/>
      <w:numFmt w:val="bullet"/>
      <w:lvlText w:val=""/>
      <w:lvlJc w:val="left"/>
      <w:pPr>
        <w:ind w:left="4729" w:hanging="360"/>
      </w:pPr>
      <w:rPr>
        <w:rFonts w:ascii="Symbol" w:hAnsi="Symbol" w:hint="default"/>
      </w:rPr>
    </w:lvl>
    <w:lvl w:ilvl="7" w:tplc="04070003" w:tentative="1">
      <w:start w:val="1"/>
      <w:numFmt w:val="bullet"/>
      <w:lvlText w:val="o"/>
      <w:lvlJc w:val="left"/>
      <w:pPr>
        <w:ind w:left="5449" w:hanging="360"/>
      </w:pPr>
      <w:rPr>
        <w:rFonts w:ascii="Courier New" w:hAnsi="Courier New" w:cs="Courier New" w:hint="default"/>
      </w:rPr>
    </w:lvl>
    <w:lvl w:ilvl="8" w:tplc="04070005" w:tentative="1">
      <w:start w:val="1"/>
      <w:numFmt w:val="bullet"/>
      <w:lvlText w:val=""/>
      <w:lvlJc w:val="left"/>
      <w:pPr>
        <w:ind w:left="6169" w:hanging="360"/>
      </w:pPr>
      <w:rPr>
        <w:rFonts w:ascii="Wingdings" w:hAnsi="Wingdings" w:hint="default"/>
      </w:rPr>
    </w:lvl>
  </w:abstractNum>
  <w:abstractNum w:abstractNumId="10"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5CBA1053"/>
    <w:multiLevelType w:val="hybridMultilevel"/>
    <w:tmpl w:val="F4E6D672"/>
    <w:lvl w:ilvl="0" w:tplc="B1EA0D54">
      <w:numFmt w:val="bullet"/>
      <w:lvlText w:val="-"/>
      <w:lvlJc w:val="left"/>
      <w:pPr>
        <w:ind w:left="769" w:hanging="360"/>
      </w:pPr>
      <w:rPr>
        <w:rFonts w:ascii="Arial" w:eastAsiaTheme="minorHAnsi" w:hAnsi="Arial" w:cs="Aria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12" w15:restartNumberingAfterBreak="0">
    <w:nsid w:val="5F384480"/>
    <w:multiLevelType w:val="hybridMultilevel"/>
    <w:tmpl w:val="37FADF82"/>
    <w:lvl w:ilvl="0" w:tplc="B1EA0D54">
      <w:numFmt w:val="bullet"/>
      <w:lvlText w:val="-"/>
      <w:lvlJc w:val="left"/>
      <w:pPr>
        <w:ind w:left="769" w:hanging="360"/>
      </w:pPr>
      <w:rPr>
        <w:rFonts w:ascii="Arial" w:eastAsiaTheme="minorHAnsi" w:hAnsi="Arial" w:cs="Aria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13"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D97045"/>
    <w:multiLevelType w:val="hybridMultilevel"/>
    <w:tmpl w:val="BC0228AA"/>
    <w:lvl w:ilvl="0" w:tplc="B1EA0D54">
      <w:numFmt w:val="bullet"/>
      <w:lvlText w:val="-"/>
      <w:lvlJc w:val="left"/>
      <w:pPr>
        <w:ind w:left="769" w:hanging="360"/>
      </w:pPr>
      <w:rPr>
        <w:rFonts w:ascii="Arial" w:eastAsiaTheme="minorHAnsi" w:hAnsi="Arial" w:cs="Aria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15" w15:restartNumberingAfterBreak="0">
    <w:nsid w:val="69826364"/>
    <w:multiLevelType w:val="hybridMultilevel"/>
    <w:tmpl w:val="B5E233D8"/>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6"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A66E9C"/>
    <w:multiLevelType w:val="hybridMultilevel"/>
    <w:tmpl w:val="3208A6D8"/>
    <w:lvl w:ilvl="0" w:tplc="B1EA0D54">
      <w:numFmt w:val="bullet"/>
      <w:lvlText w:val="-"/>
      <w:lvlJc w:val="left"/>
      <w:pPr>
        <w:ind w:left="769" w:hanging="360"/>
      </w:pPr>
      <w:rPr>
        <w:rFonts w:ascii="Arial" w:eastAsiaTheme="minorHAnsi" w:hAnsi="Arial" w:cs="Aria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18" w15:restartNumberingAfterBreak="0">
    <w:nsid w:val="77F13888"/>
    <w:multiLevelType w:val="hybridMultilevel"/>
    <w:tmpl w:val="E3EC575E"/>
    <w:lvl w:ilvl="0" w:tplc="B1EA0D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3"/>
  </w:num>
  <w:num w:numId="5">
    <w:abstractNumId w:val="16"/>
  </w:num>
  <w:num w:numId="6">
    <w:abstractNumId w:val="1"/>
  </w:num>
  <w:num w:numId="7">
    <w:abstractNumId w:val="15"/>
  </w:num>
  <w:num w:numId="8">
    <w:abstractNumId w:val="3"/>
  </w:num>
  <w:num w:numId="9">
    <w:abstractNumId w:val="9"/>
  </w:num>
  <w:num w:numId="10">
    <w:abstractNumId w:val="11"/>
  </w:num>
  <w:num w:numId="11">
    <w:abstractNumId w:val="17"/>
  </w:num>
  <w:num w:numId="12">
    <w:abstractNumId w:val="6"/>
  </w:num>
  <w:num w:numId="13">
    <w:abstractNumId w:val="7"/>
  </w:num>
  <w:num w:numId="14">
    <w:abstractNumId w:val="14"/>
  </w:num>
  <w:num w:numId="15">
    <w:abstractNumId w:val="12"/>
  </w:num>
  <w:num w:numId="16">
    <w:abstractNumId w:val="18"/>
  </w:num>
  <w:num w:numId="17">
    <w:abstractNumId w:val="2"/>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SortMethod w:val="0000"/>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33179"/>
    <w:rsid w:val="00082C61"/>
    <w:rsid w:val="00085EFD"/>
    <w:rsid w:val="000A456D"/>
    <w:rsid w:val="000B591E"/>
    <w:rsid w:val="000D6043"/>
    <w:rsid w:val="000F026C"/>
    <w:rsid w:val="00104214"/>
    <w:rsid w:val="001477B5"/>
    <w:rsid w:val="00193127"/>
    <w:rsid w:val="001B74DE"/>
    <w:rsid w:val="001F519C"/>
    <w:rsid w:val="00202437"/>
    <w:rsid w:val="002236CE"/>
    <w:rsid w:val="00236215"/>
    <w:rsid w:val="00236DCB"/>
    <w:rsid w:val="00275C12"/>
    <w:rsid w:val="00295EA8"/>
    <w:rsid w:val="002A5306"/>
    <w:rsid w:val="00302EAB"/>
    <w:rsid w:val="00315802"/>
    <w:rsid w:val="00327B4E"/>
    <w:rsid w:val="003311D0"/>
    <w:rsid w:val="00332868"/>
    <w:rsid w:val="0034085C"/>
    <w:rsid w:val="00365EC4"/>
    <w:rsid w:val="00392AF9"/>
    <w:rsid w:val="003A4D4F"/>
    <w:rsid w:val="003D4291"/>
    <w:rsid w:val="003E694E"/>
    <w:rsid w:val="0043200C"/>
    <w:rsid w:val="00435357"/>
    <w:rsid w:val="00440574"/>
    <w:rsid w:val="0044648D"/>
    <w:rsid w:val="00473C3C"/>
    <w:rsid w:val="004825A4"/>
    <w:rsid w:val="00492BBB"/>
    <w:rsid w:val="00497706"/>
    <w:rsid w:val="004A0101"/>
    <w:rsid w:val="004A4E36"/>
    <w:rsid w:val="004F00E4"/>
    <w:rsid w:val="004F2DCD"/>
    <w:rsid w:val="005043BB"/>
    <w:rsid w:val="00546648"/>
    <w:rsid w:val="005621A1"/>
    <w:rsid w:val="00585686"/>
    <w:rsid w:val="0059289D"/>
    <w:rsid w:val="005A67D6"/>
    <w:rsid w:val="005C4A85"/>
    <w:rsid w:val="005E4DCC"/>
    <w:rsid w:val="005F7605"/>
    <w:rsid w:val="0060037B"/>
    <w:rsid w:val="00630B7C"/>
    <w:rsid w:val="0064018A"/>
    <w:rsid w:val="006870C3"/>
    <w:rsid w:val="006A40C3"/>
    <w:rsid w:val="006C7499"/>
    <w:rsid w:val="006D2AE1"/>
    <w:rsid w:val="006D7F43"/>
    <w:rsid w:val="006F329D"/>
    <w:rsid w:val="00725431"/>
    <w:rsid w:val="00735652"/>
    <w:rsid w:val="00795445"/>
    <w:rsid w:val="007B0D73"/>
    <w:rsid w:val="007C71E9"/>
    <w:rsid w:val="007D5E9F"/>
    <w:rsid w:val="00812F77"/>
    <w:rsid w:val="00823291"/>
    <w:rsid w:val="0082727A"/>
    <w:rsid w:val="008333C2"/>
    <w:rsid w:val="00856CB0"/>
    <w:rsid w:val="008A5FBE"/>
    <w:rsid w:val="008A7800"/>
    <w:rsid w:val="008C4A8C"/>
    <w:rsid w:val="008D1C35"/>
    <w:rsid w:val="008F0FFE"/>
    <w:rsid w:val="009445DB"/>
    <w:rsid w:val="00980679"/>
    <w:rsid w:val="00982BDF"/>
    <w:rsid w:val="00983315"/>
    <w:rsid w:val="00994A60"/>
    <w:rsid w:val="0099685D"/>
    <w:rsid w:val="009A6771"/>
    <w:rsid w:val="009D6BCD"/>
    <w:rsid w:val="00A066CA"/>
    <w:rsid w:val="00A31A81"/>
    <w:rsid w:val="00A3442D"/>
    <w:rsid w:val="00A7340D"/>
    <w:rsid w:val="00AA22F7"/>
    <w:rsid w:val="00AB613B"/>
    <w:rsid w:val="00AC51A2"/>
    <w:rsid w:val="00AF7A6A"/>
    <w:rsid w:val="00B002DD"/>
    <w:rsid w:val="00B24CE7"/>
    <w:rsid w:val="00B270D8"/>
    <w:rsid w:val="00B36A65"/>
    <w:rsid w:val="00B46DD8"/>
    <w:rsid w:val="00B6082D"/>
    <w:rsid w:val="00BC0697"/>
    <w:rsid w:val="00C5522C"/>
    <w:rsid w:val="00CA1099"/>
    <w:rsid w:val="00CB7B05"/>
    <w:rsid w:val="00CD1E4B"/>
    <w:rsid w:val="00D1406B"/>
    <w:rsid w:val="00D463F9"/>
    <w:rsid w:val="00D64EE3"/>
    <w:rsid w:val="00D83396"/>
    <w:rsid w:val="00D84FE4"/>
    <w:rsid w:val="00D93207"/>
    <w:rsid w:val="00DB0B42"/>
    <w:rsid w:val="00DC3801"/>
    <w:rsid w:val="00DD011F"/>
    <w:rsid w:val="00E101B0"/>
    <w:rsid w:val="00E37AB9"/>
    <w:rsid w:val="00E41E2F"/>
    <w:rsid w:val="00E519D9"/>
    <w:rsid w:val="00E67AB2"/>
    <w:rsid w:val="00E72DAD"/>
    <w:rsid w:val="00E869EF"/>
    <w:rsid w:val="00EA6172"/>
    <w:rsid w:val="00EA6C27"/>
    <w:rsid w:val="00EA7A6D"/>
    <w:rsid w:val="00EC00C0"/>
    <w:rsid w:val="00EF049B"/>
    <w:rsid w:val="00F1508F"/>
    <w:rsid w:val="00F239A4"/>
    <w:rsid w:val="00F43990"/>
    <w:rsid w:val="00F47CA8"/>
    <w:rsid w:val="00F61A32"/>
    <w:rsid w:val="00F64C6B"/>
    <w:rsid w:val="00F65B74"/>
    <w:rsid w:val="00F761CC"/>
    <w:rsid w:val="00F92549"/>
    <w:rsid w:val="00FB102F"/>
    <w:rsid w:val="00FC5DB5"/>
    <w:rsid w:val="00FD5BBD"/>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E2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C61"/>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autoRedefine/>
    <w:semiHidden/>
    <w:rsid w:val="00082C61"/>
    <w:pPr>
      <w:tabs>
        <w:tab w:val="left" w:pos="113"/>
      </w:tabs>
      <w:ind w:left="113" w:hanging="113"/>
    </w:pPr>
    <w:rPr>
      <w:rFonts w:eastAsia="Times New Roman" w:cs="Times New Roman"/>
      <w:sz w:val="20"/>
      <w:szCs w:val="20"/>
    </w:rPr>
  </w:style>
  <w:style w:type="character" w:customStyle="1" w:styleId="FunotentextZchn">
    <w:name w:val="Fußnotentext Zchn"/>
    <w:basedOn w:val="Absatz-Standardschriftart"/>
    <w:link w:val="Funotentext"/>
    <w:semiHidden/>
    <w:rsid w:val="00082C61"/>
    <w:rPr>
      <w:rFonts w:ascii="Arial" w:eastAsia="Times New Roman" w:hAnsi="Arial" w:cs="Times New Roman"/>
      <w:sz w:val="20"/>
      <w:szCs w:val="20"/>
    </w:rPr>
  </w:style>
  <w:style w:type="character" w:styleId="Funotenzeichen">
    <w:name w:val="footnote reference"/>
    <w:basedOn w:val="Absatz-Standardschriftart"/>
    <w:rsid w:val="00082C61"/>
    <w:rPr>
      <w:sz w:val="24"/>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725431"/>
    <w:pPr>
      <w:tabs>
        <w:tab w:val="center" w:pos="4536"/>
        <w:tab w:val="right" w:pos="9072"/>
      </w:tabs>
    </w:pPr>
  </w:style>
  <w:style w:type="character" w:customStyle="1" w:styleId="KopfzeileZchn">
    <w:name w:val="Kopfzeile Zchn"/>
    <w:basedOn w:val="Absatz-Standardschriftart"/>
    <w:link w:val="Kopfzeile"/>
    <w:uiPriority w:val="99"/>
    <w:rsid w:val="00725431"/>
  </w:style>
  <w:style w:type="paragraph" w:styleId="Fuzeile">
    <w:name w:val="footer"/>
    <w:basedOn w:val="Standard"/>
    <w:link w:val="FuzeileZchn"/>
    <w:uiPriority w:val="99"/>
    <w:unhideWhenUsed/>
    <w:rsid w:val="00725431"/>
    <w:pPr>
      <w:tabs>
        <w:tab w:val="center" w:pos="4536"/>
        <w:tab w:val="right" w:pos="9072"/>
      </w:tabs>
    </w:pPr>
  </w:style>
  <w:style w:type="character" w:customStyle="1" w:styleId="FuzeileZchn">
    <w:name w:val="Fußzeile Zchn"/>
    <w:basedOn w:val="Absatz-Standardschriftart"/>
    <w:link w:val="Fuzeile"/>
    <w:uiPriority w:val="99"/>
    <w:rsid w:val="00725431"/>
  </w:style>
  <w:style w:type="character" w:styleId="Kommentarzeichen">
    <w:name w:val="annotation reference"/>
    <w:basedOn w:val="Absatz-Standardschriftart"/>
    <w:uiPriority w:val="99"/>
    <w:semiHidden/>
    <w:unhideWhenUsed/>
    <w:rsid w:val="00983315"/>
    <w:rPr>
      <w:sz w:val="16"/>
      <w:szCs w:val="16"/>
    </w:rPr>
  </w:style>
  <w:style w:type="paragraph" w:styleId="Kommentartext">
    <w:name w:val="annotation text"/>
    <w:basedOn w:val="Standard"/>
    <w:link w:val="KommentartextZchn"/>
    <w:uiPriority w:val="99"/>
    <w:semiHidden/>
    <w:unhideWhenUsed/>
    <w:rsid w:val="00983315"/>
    <w:rPr>
      <w:sz w:val="20"/>
      <w:szCs w:val="20"/>
    </w:rPr>
  </w:style>
  <w:style w:type="character" w:customStyle="1" w:styleId="KommentartextZchn">
    <w:name w:val="Kommentartext Zchn"/>
    <w:basedOn w:val="Absatz-Standardschriftart"/>
    <w:link w:val="Kommentartext"/>
    <w:uiPriority w:val="99"/>
    <w:semiHidden/>
    <w:rsid w:val="0098331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83315"/>
    <w:rPr>
      <w:b/>
      <w:bCs/>
    </w:rPr>
  </w:style>
  <w:style w:type="character" w:customStyle="1" w:styleId="KommentarthemaZchn">
    <w:name w:val="Kommentarthema Zchn"/>
    <w:basedOn w:val="KommentartextZchn"/>
    <w:link w:val="Kommentarthema"/>
    <w:uiPriority w:val="99"/>
    <w:semiHidden/>
    <w:rsid w:val="00983315"/>
    <w:rPr>
      <w:rFonts w:ascii="Arial" w:hAnsi="Arial"/>
      <w:b/>
      <w:bCs/>
      <w:sz w:val="20"/>
      <w:szCs w:val="20"/>
    </w:rPr>
  </w:style>
  <w:style w:type="paragraph" w:customStyle="1" w:styleId="Tabellenspiegelstrich">
    <w:name w:val="Tabellenspiegelstrich"/>
    <w:basedOn w:val="Standard"/>
    <w:rsid w:val="00B270D8"/>
    <w:pPr>
      <w:numPr>
        <w:numId w:val="19"/>
      </w:numPr>
    </w:pPr>
    <w:rPr>
      <w:rFonts w:eastAsia="MS Mincho"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615798011">
      <w:bodyDiv w:val="1"/>
      <w:marLeft w:val="0"/>
      <w:marRight w:val="0"/>
      <w:marTop w:val="0"/>
      <w:marBottom w:val="0"/>
      <w:divBdr>
        <w:top w:val="none" w:sz="0" w:space="0" w:color="auto"/>
        <w:left w:val="none" w:sz="0" w:space="0" w:color="auto"/>
        <w:bottom w:val="none" w:sz="0" w:space="0" w:color="auto"/>
        <w:right w:val="none" w:sz="0" w:space="0" w:color="auto"/>
      </w:divBdr>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6623</Characters>
  <Application>Microsoft Office Word</Application>
  <DocSecurity>0</DocSecurity>
  <Lines>55</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2025-04-17T07:58:00Z</dcterms:created>
  <dcterms:modified xsi:type="dcterms:W3CDTF">2025-04-17T07:58:00Z</dcterms:modified>
</cp:coreProperties>
</file>